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87ED3" w14:textId="77777777" w:rsidR="00DA7A12" w:rsidRDefault="00000000">
      <w:pPr>
        <w:pStyle w:val="af1"/>
        <w:outlineLvl w:val="0"/>
        <w:rPr>
          <w:sz w:val="36"/>
          <w:szCs w:val="36"/>
        </w:rPr>
      </w:pPr>
      <w:bookmarkStart w:id="0" w:name="_Toc20508"/>
      <w:r>
        <w:rPr>
          <w:sz w:val="36"/>
          <w:szCs w:val="36"/>
        </w:rPr>
        <w:t>新增本科层次职业教育学士学位授权专业申请报告</w:t>
      </w:r>
      <w:bookmarkEnd w:id="0"/>
    </w:p>
    <w:p w14:paraId="01865486" w14:textId="77777777" w:rsidR="00DA7A12" w:rsidRDefault="00000000">
      <w:pPr>
        <w:jc w:val="center"/>
        <w:rPr>
          <w:rStyle w:val="ab"/>
          <w:rFonts w:ascii="仿宋_GB2312" w:eastAsia="仿宋_GB2312" w:hAnsi="仿宋" w:hint="eastAsia"/>
          <w:sz w:val="28"/>
          <w:szCs w:val="36"/>
        </w:rPr>
      </w:pPr>
      <w:r>
        <w:rPr>
          <w:rStyle w:val="ab"/>
          <w:rFonts w:ascii="仿宋_GB2312" w:eastAsia="仿宋_GB2312" w:hAnsi="仿宋" w:hint="eastAsia"/>
          <w:sz w:val="28"/>
          <w:szCs w:val="36"/>
        </w:rPr>
        <w:t>申请专业：新能源发电工程技术</w:t>
      </w:r>
    </w:p>
    <w:p w14:paraId="19655380" w14:textId="77777777" w:rsidR="00DA7A12" w:rsidRDefault="00000000">
      <w:pPr>
        <w:pStyle w:val="13"/>
        <w:outlineLvl w:val="1"/>
        <w:rPr>
          <w:sz w:val="32"/>
          <w:szCs w:val="32"/>
        </w:rPr>
      </w:pPr>
      <w:bookmarkStart w:id="1" w:name="_Toc15699"/>
      <w:r>
        <w:rPr>
          <w:sz w:val="32"/>
          <w:szCs w:val="32"/>
        </w:rPr>
        <w:t>一、专业定位与特色</w:t>
      </w:r>
      <w:bookmarkEnd w:id="1"/>
    </w:p>
    <w:p w14:paraId="5F411F87" w14:textId="77777777" w:rsidR="00DA7A12" w:rsidRDefault="00000000">
      <w:pPr>
        <w:pStyle w:val="21"/>
        <w:numPr>
          <w:ilvl w:val="0"/>
          <w:numId w:val="1"/>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本专业定位与目标</w:t>
      </w:r>
    </w:p>
    <w:p w14:paraId="60637511"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本专业结合学校发展的整体定位，依托学校在能源动力领域的优势，以国家“双碳”战略和新能源产业发展需求为背景，定位在本科职业教育层次，以教学为主，面向光伏发电、光热发电及多能互补系统领域的复合型高层次技术技能人才培养。立足甘肃，服务西北，辐射全国，为区域能源结构转型和绿色经济发展提供人才支撑。专业定位符合学校整体发展规划和现有条件，符合社会发展的需求以及市场对于人才的实际需要。</w:t>
      </w:r>
    </w:p>
    <w:p w14:paraId="628EE870" w14:textId="77777777" w:rsidR="00DA7A12" w:rsidRDefault="00000000">
      <w:pPr>
        <w:pStyle w:val="14"/>
        <w:spacing w:line="560" w:lineRule="exact"/>
        <w:ind w:firstLine="600"/>
      </w:pPr>
      <w:r>
        <w:rPr>
          <w:sz w:val="30"/>
          <w:szCs w:val="30"/>
        </w:rPr>
        <w:t>在现有良好办学基础上，遵循职业教育规律和人才成长规律，深化“产教融合、工学结合”的人才培养模式，全面改善本专业的教学、科研环境。力争将本专业建设成为适应新能源产业发展需要、办学理念先进、教学条件完备、师资力量雄厚、课程体系科学、专业特色鲜明，尤其在“光热协同发电”领域具有显著优势的国内特色专业。</w:t>
      </w:r>
    </w:p>
    <w:p w14:paraId="1F77F3AC" w14:textId="77777777" w:rsidR="00DA7A12" w:rsidRDefault="00000000">
      <w:pPr>
        <w:pStyle w:val="31"/>
        <w:numPr>
          <w:ilvl w:val="0"/>
          <w:numId w:val="2"/>
        </w:numPr>
        <w:ind w:firstLineChars="0"/>
        <w:rPr>
          <w:rFonts w:hint="eastAsia"/>
          <w:sz w:val="30"/>
          <w:szCs w:val="30"/>
        </w:rPr>
      </w:pPr>
      <w:r>
        <w:rPr>
          <w:sz w:val="30"/>
          <w:szCs w:val="30"/>
        </w:rPr>
        <w:t>培养目标</w:t>
      </w:r>
    </w:p>
    <w:p w14:paraId="57CBBEF0"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本专业培养理想信念坚定，德、智、体、美、</w:t>
      </w:r>
      <w:proofErr w:type="gramStart"/>
      <w:r>
        <w:rPr>
          <w:rFonts w:ascii="仿宋_GB2312" w:eastAsia="仿宋_GB2312" w:hAnsi="仿宋_GB2312" w:hint="eastAsia"/>
          <w:bCs/>
          <w:sz w:val="30"/>
          <w:szCs w:val="30"/>
        </w:rPr>
        <w:t>劳</w:t>
      </w:r>
      <w:proofErr w:type="gramEnd"/>
      <w:r>
        <w:rPr>
          <w:rFonts w:ascii="仿宋_GB2312" w:eastAsia="仿宋_GB2312" w:hAnsi="仿宋_GB2312" w:hint="eastAsia"/>
          <w:bCs/>
          <w:sz w:val="30"/>
          <w:szCs w:val="30"/>
        </w:rPr>
        <w:t>全面发展，具有一定的科学文化水平，良好的人文素养、职业道德和创新意识，精益求精的工匠精神和一定的国际视野；掌握光伏发电、光热发电、电力系统及多能互补等较为系统的基础理论知识和技术技能，具备光热协同发电系统的集成设计、运行维护、调度管理与技术服务的核心能力。毕业生能够从事新能源发电系统的设计、</w:t>
      </w:r>
      <w:r>
        <w:rPr>
          <w:rFonts w:ascii="仿宋_GB2312" w:eastAsia="仿宋_GB2312" w:hAnsi="仿宋_GB2312" w:hint="eastAsia"/>
          <w:bCs/>
          <w:sz w:val="30"/>
          <w:szCs w:val="30"/>
        </w:rPr>
        <w:lastRenderedPageBreak/>
        <w:t>集成、安装调试、智能运维、能效管理及技术服务等工作，能够解决电站运行中的较复杂技术问题，具有较强的就业能力和可持续发展能力的高端技术技能人才。</w:t>
      </w:r>
    </w:p>
    <w:p w14:paraId="3E68D288" w14:textId="77777777" w:rsidR="00DA7A12" w:rsidRDefault="00000000">
      <w:pPr>
        <w:pStyle w:val="31"/>
        <w:numPr>
          <w:ilvl w:val="0"/>
          <w:numId w:val="2"/>
        </w:numPr>
        <w:ind w:firstLineChars="0"/>
        <w:rPr>
          <w:rFonts w:hint="eastAsia"/>
          <w:sz w:val="30"/>
          <w:szCs w:val="30"/>
        </w:rPr>
      </w:pPr>
      <w:r>
        <w:rPr>
          <w:sz w:val="30"/>
          <w:szCs w:val="30"/>
        </w:rPr>
        <w:t>基本要求</w:t>
      </w:r>
    </w:p>
    <w:p w14:paraId="566180F9" w14:textId="77777777" w:rsidR="00DA7A12" w:rsidRDefault="00000000">
      <w:pPr>
        <w:spacing w:line="560" w:lineRule="exact"/>
        <w:ind w:firstLineChars="200" w:firstLine="600"/>
        <w:rPr>
          <w:rFonts w:hint="eastAsia"/>
        </w:rPr>
      </w:pPr>
      <w:r>
        <w:rPr>
          <w:rFonts w:ascii="仿宋_GB2312" w:eastAsia="仿宋_GB2312" w:hAnsi="仿宋_GB2312" w:hint="eastAsia"/>
          <w:bCs/>
          <w:sz w:val="30"/>
          <w:szCs w:val="30"/>
        </w:rPr>
        <w:t>通过新能源发电工程技术专业的学习，使学生掌握光伏、光热及多能互补发电系统的基本原理、设计方法和运行维护技能；获得较好的工程实践训练，具备较强的工程实践能力；掌握文献检索、资料查询的基本方法，具备一定的技术开发、项目管理和解决实际工程问题的能力；能够熟练运用专业知识，从事新能源电站的规划、设计、建设、运维与管理等工作。</w:t>
      </w:r>
    </w:p>
    <w:p w14:paraId="759DBAED" w14:textId="77777777" w:rsidR="00DA7A12" w:rsidRDefault="00000000">
      <w:pPr>
        <w:pStyle w:val="21"/>
        <w:numPr>
          <w:ilvl w:val="0"/>
          <w:numId w:val="1"/>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专业优势特色</w:t>
      </w:r>
    </w:p>
    <w:p w14:paraId="3F191A92" w14:textId="77777777" w:rsidR="00DA7A12" w:rsidRDefault="00000000">
      <w:pPr>
        <w:pStyle w:val="31"/>
        <w:numPr>
          <w:ilvl w:val="0"/>
          <w:numId w:val="3"/>
        </w:numPr>
        <w:ind w:firstLineChars="0"/>
        <w:rPr>
          <w:rFonts w:hint="eastAsia"/>
          <w:sz w:val="30"/>
          <w:szCs w:val="30"/>
        </w:rPr>
      </w:pPr>
      <w:r>
        <w:rPr>
          <w:sz w:val="30"/>
          <w:szCs w:val="30"/>
        </w:rPr>
        <w:t>聚焦“光热协同”，打造核心特色</w:t>
      </w:r>
    </w:p>
    <w:p w14:paraId="411D3246" w14:textId="77777777" w:rsidR="00DA7A12" w:rsidRDefault="00000000">
      <w:pPr>
        <w:spacing w:line="560" w:lineRule="exact"/>
        <w:ind w:firstLineChars="200" w:firstLine="600"/>
        <w:rPr>
          <w:rStyle w:val="ab"/>
          <w:rFonts w:hint="eastAsia"/>
          <w:b w:val="0"/>
        </w:rPr>
      </w:pPr>
      <w:r>
        <w:rPr>
          <w:rFonts w:ascii="仿宋_GB2312" w:eastAsia="仿宋_GB2312" w:hAnsi="仿宋_GB2312" w:hint="eastAsia"/>
          <w:bCs/>
          <w:sz w:val="30"/>
          <w:szCs w:val="30"/>
        </w:rPr>
        <w:t>本专业精准对接西北地区富集的太阳能资源和国家对稳定可调新能源的需求，在国内职业本科院校中率先突出“光热协同发电”系统集成与智能运维的培养特色。课程体系与实训平台围绕光伏与光热发电的技术互补性进行深度构建，培养学生掌握多能互补电站的运行调度与优化能力，满足行业对复合型技术人才的迫切需求。</w:t>
      </w:r>
    </w:p>
    <w:p w14:paraId="181E7C1A" w14:textId="77777777" w:rsidR="00DA7A12" w:rsidRDefault="00000000">
      <w:pPr>
        <w:pStyle w:val="31"/>
        <w:numPr>
          <w:ilvl w:val="0"/>
          <w:numId w:val="3"/>
        </w:numPr>
        <w:ind w:firstLineChars="0"/>
        <w:rPr>
          <w:rFonts w:hint="eastAsia"/>
          <w:sz w:val="30"/>
          <w:szCs w:val="30"/>
        </w:rPr>
      </w:pPr>
      <w:r>
        <w:rPr>
          <w:sz w:val="30"/>
          <w:szCs w:val="30"/>
        </w:rPr>
        <w:t>专兼结合、双师引领的教学团队</w:t>
      </w:r>
    </w:p>
    <w:p w14:paraId="648BAEA9"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专业拥有一支由甘肃省黄炎培杰出教师奖获得者、全国石油和化工行业教学名师刘立平教授领衔的高水平教学团队。团队中专任教师</w:t>
      </w:r>
      <w:r w:rsidRPr="0068249F">
        <w:rPr>
          <w:rFonts w:ascii="Times New Roman" w:eastAsia="仿宋_GB2312" w:hAnsi="Times New Roman" w:cs="Times New Roman" w:hint="eastAsia"/>
          <w:bCs/>
          <w:sz w:val="30"/>
          <w:szCs w:val="30"/>
        </w:rPr>
        <w:t>23</w:t>
      </w:r>
      <w:r>
        <w:rPr>
          <w:rFonts w:ascii="仿宋_GB2312" w:eastAsia="仿宋_GB2312" w:hAnsi="仿宋_GB2312" w:hint="eastAsia"/>
          <w:bCs/>
          <w:sz w:val="30"/>
          <w:szCs w:val="30"/>
        </w:rPr>
        <w:t>人，其中高级职称</w:t>
      </w:r>
      <w:r w:rsidRPr="0068249F">
        <w:rPr>
          <w:rFonts w:ascii="Times New Roman" w:eastAsia="仿宋_GB2312" w:hAnsi="Times New Roman" w:cs="Times New Roman" w:hint="eastAsia"/>
          <w:bCs/>
          <w:sz w:val="30"/>
          <w:szCs w:val="30"/>
        </w:rPr>
        <w:t>11</w:t>
      </w:r>
      <w:r>
        <w:rPr>
          <w:rFonts w:ascii="仿宋_GB2312" w:eastAsia="仿宋_GB2312" w:hAnsi="仿宋_GB2312" w:hint="eastAsia"/>
          <w:bCs/>
          <w:sz w:val="30"/>
          <w:szCs w:val="30"/>
        </w:rPr>
        <w:t>人，博士</w:t>
      </w:r>
      <w:r w:rsidRPr="0068249F">
        <w:rPr>
          <w:rFonts w:ascii="Times New Roman" w:eastAsia="仿宋_GB2312" w:hAnsi="Times New Roman" w:cs="Times New Roman" w:hint="eastAsia"/>
          <w:bCs/>
          <w:sz w:val="30"/>
          <w:szCs w:val="30"/>
        </w:rPr>
        <w:t>4</w:t>
      </w:r>
      <w:r>
        <w:rPr>
          <w:rFonts w:ascii="仿宋_GB2312" w:eastAsia="仿宋_GB2312" w:hAnsi="仿宋_GB2312" w:hint="eastAsia"/>
          <w:bCs/>
          <w:sz w:val="30"/>
          <w:szCs w:val="30"/>
        </w:rPr>
        <w:t>人，“双师型”教师占比高达</w:t>
      </w:r>
      <w:r w:rsidRPr="0068249F">
        <w:rPr>
          <w:rFonts w:ascii="Times New Roman" w:eastAsia="仿宋_GB2312" w:hAnsi="Times New Roman" w:cs="Times New Roman" w:hint="eastAsia"/>
          <w:bCs/>
          <w:sz w:val="30"/>
          <w:szCs w:val="30"/>
        </w:rPr>
        <w:t>86</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96</w:t>
      </w:r>
      <w:r>
        <w:rPr>
          <w:rFonts w:ascii="仿宋_GB2312" w:eastAsia="仿宋_GB2312" w:hAnsi="仿宋_GB2312" w:hint="eastAsia"/>
          <w:bCs/>
          <w:sz w:val="30"/>
          <w:szCs w:val="30"/>
        </w:rPr>
        <w:t>%，并聘请了</w:t>
      </w:r>
      <w:r w:rsidRPr="0068249F">
        <w:rPr>
          <w:rFonts w:ascii="Times New Roman" w:eastAsia="仿宋_GB2312" w:hAnsi="Times New Roman" w:cs="Times New Roman" w:hint="eastAsia"/>
          <w:bCs/>
          <w:sz w:val="30"/>
          <w:szCs w:val="30"/>
        </w:rPr>
        <w:t>9</w:t>
      </w:r>
      <w:r>
        <w:rPr>
          <w:rFonts w:ascii="仿宋_GB2312" w:eastAsia="仿宋_GB2312" w:hAnsi="仿宋_GB2312" w:hint="eastAsia"/>
          <w:bCs/>
          <w:sz w:val="30"/>
          <w:szCs w:val="30"/>
        </w:rPr>
        <w:t>名来自能源电力企业的资深专家担任兼职教师，校</w:t>
      </w:r>
      <w:proofErr w:type="gramStart"/>
      <w:r>
        <w:rPr>
          <w:rFonts w:ascii="仿宋_GB2312" w:eastAsia="仿宋_GB2312" w:hAnsi="仿宋_GB2312" w:hint="eastAsia"/>
          <w:bCs/>
          <w:sz w:val="30"/>
          <w:szCs w:val="30"/>
        </w:rPr>
        <w:t>企共育人才机制</w:t>
      </w:r>
      <w:proofErr w:type="gramEnd"/>
      <w:r>
        <w:rPr>
          <w:rFonts w:ascii="仿宋_GB2312" w:eastAsia="仿宋_GB2312" w:hAnsi="仿宋_GB2312" w:hint="eastAsia"/>
          <w:bCs/>
          <w:sz w:val="30"/>
          <w:szCs w:val="30"/>
        </w:rPr>
        <w:t>成熟。</w:t>
      </w:r>
    </w:p>
    <w:p w14:paraId="5DB87298" w14:textId="77777777" w:rsidR="00DA7A12" w:rsidRDefault="00000000">
      <w:pPr>
        <w:pStyle w:val="31"/>
        <w:numPr>
          <w:ilvl w:val="0"/>
          <w:numId w:val="3"/>
        </w:numPr>
        <w:ind w:firstLineChars="0"/>
        <w:rPr>
          <w:rFonts w:hint="eastAsia"/>
          <w:sz w:val="30"/>
          <w:szCs w:val="30"/>
        </w:rPr>
      </w:pPr>
      <w:r>
        <w:rPr>
          <w:sz w:val="30"/>
          <w:szCs w:val="30"/>
        </w:rPr>
        <w:lastRenderedPageBreak/>
        <w:t>“理-虚-实”一体化的先进实训条件</w:t>
      </w:r>
    </w:p>
    <w:p w14:paraId="08110BF6"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拥有“</w:t>
      </w:r>
      <w:r w:rsidRPr="0068249F">
        <w:rPr>
          <w:rFonts w:ascii="Times New Roman" w:eastAsia="仿宋_GB2312" w:hAnsi="Times New Roman" w:cs="Times New Roman" w:hint="eastAsia"/>
          <w:bCs/>
          <w:sz w:val="30"/>
          <w:szCs w:val="30"/>
        </w:rPr>
        <w:t>1MW</w:t>
      </w:r>
      <w:r>
        <w:rPr>
          <w:rFonts w:ascii="仿宋_GB2312" w:eastAsia="仿宋_GB2312" w:hAnsi="仿宋_GB2312" w:hint="eastAsia"/>
          <w:bCs/>
          <w:sz w:val="30"/>
          <w:szCs w:val="30"/>
        </w:rPr>
        <w:t>校园屋顶光伏电站”、“智能微电网实训室”、“光热系统仿真实训室”等一批高水平的校内实训平台，构建了“理论认知→虚拟仿真→实物操作”的递进</w:t>
      </w:r>
      <w:proofErr w:type="gramStart"/>
      <w:r>
        <w:rPr>
          <w:rFonts w:ascii="仿宋_GB2312" w:eastAsia="仿宋_GB2312" w:hAnsi="仿宋_GB2312" w:hint="eastAsia"/>
          <w:bCs/>
          <w:sz w:val="30"/>
          <w:szCs w:val="30"/>
        </w:rPr>
        <w:t>式实践</w:t>
      </w:r>
      <w:proofErr w:type="gramEnd"/>
      <w:r>
        <w:rPr>
          <w:rFonts w:ascii="仿宋_GB2312" w:eastAsia="仿宋_GB2312" w:hAnsi="仿宋_GB2312" w:hint="eastAsia"/>
          <w:bCs/>
          <w:sz w:val="30"/>
          <w:szCs w:val="30"/>
        </w:rPr>
        <w:t>教学体系。与兰州新区化工热电有限公司、甘肃能化股份有限公司等区域内重点能源企业建立了深度合作的校外实习基地，为学生提供了真实的职业环境。</w:t>
      </w:r>
    </w:p>
    <w:p w14:paraId="11048E93" w14:textId="77777777" w:rsidR="00DA7A12" w:rsidRDefault="00000000">
      <w:pPr>
        <w:pStyle w:val="31"/>
        <w:numPr>
          <w:ilvl w:val="0"/>
          <w:numId w:val="3"/>
        </w:numPr>
        <w:ind w:firstLineChars="0"/>
        <w:rPr>
          <w:rFonts w:hint="eastAsia"/>
          <w:sz w:val="30"/>
          <w:szCs w:val="30"/>
        </w:rPr>
      </w:pPr>
      <w:r>
        <w:rPr>
          <w:sz w:val="30"/>
          <w:szCs w:val="30"/>
        </w:rPr>
        <w:t>对接产业前沿的课程体系</w:t>
      </w:r>
    </w:p>
    <w:p w14:paraId="76DE4556"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专业课程设置紧密对接新能源发电工程设计、施工、运维、管理全链条岗位需求。开设了《光伏发电工程技术》、《光热发电工程技术》、《电力储能技术》、《综合能源系统》、《无人机巡检技术》等前沿课程，实践教学学时占比达</w:t>
      </w:r>
      <w:r w:rsidRPr="0068249F">
        <w:rPr>
          <w:rFonts w:ascii="Times New Roman" w:eastAsia="仿宋_GB2312" w:hAnsi="Times New Roman" w:cs="Times New Roman" w:hint="eastAsia"/>
          <w:bCs/>
          <w:sz w:val="30"/>
          <w:szCs w:val="30"/>
        </w:rPr>
        <w:t>60</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20</w:t>
      </w:r>
      <w:r>
        <w:rPr>
          <w:rFonts w:ascii="仿宋_GB2312" w:eastAsia="仿宋_GB2312" w:hAnsi="仿宋_GB2312" w:hint="eastAsia"/>
          <w:bCs/>
          <w:sz w:val="30"/>
          <w:szCs w:val="30"/>
        </w:rPr>
        <w:t>%，确保学生所学即所用。</w:t>
      </w:r>
    </w:p>
    <w:p w14:paraId="4816ED53" w14:textId="77777777" w:rsidR="00DA7A12" w:rsidRDefault="00000000">
      <w:pPr>
        <w:pStyle w:val="21"/>
        <w:numPr>
          <w:ilvl w:val="0"/>
          <w:numId w:val="1"/>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党建和思想政治工作</w:t>
      </w:r>
    </w:p>
    <w:p w14:paraId="329B775F"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本专业持续夯实基层党团组织建设根基，建立健全入党联系人、推优遴选及发展公示等制度链条，推动党建工作规范化运行。依托新生入学教育、主题团日活动及入党积极分子培训班等多元载体，系统开展党的理论知识普及教育，扎实做好入党积极分子的培养、教育与考察工作，有效激发青年学生的政治认同感和入党积极性。同时，充分发挥“五老”优势，选聘党性觉悟高、党务经验丰富的老党员担任专职组织员，并依托校院两级党校主阵地，分层分类开展入党积极分子专项培训，严把党员发展“入口关”。</w:t>
      </w:r>
    </w:p>
    <w:p w14:paraId="113F58C6" w14:textId="77777777" w:rsidR="00DA7A12" w:rsidRDefault="00DA7A12">
      <w:pPr>
        <w:ind w:firstLine="420"/>
        <w:rPr>
          <w:rStyle w:val="ab"/>
          <w:rFonts w:ascii="仿宋_GB2312" w:eastAsia="仿宋_GB2312" w:hAnsi="仿宋_GB2312" w:cs="仿宋_GB2312" w:hint="eastAsia"/>
          <w:b w:val="0"/>
          <w:bCs/>
          <w:sz w:val="28"/>
          <w:szCs w:val="36"/>
        </w:rPr>
      </w:pPr>
    </w:p>
    <w:p w14:paraId="463D4E90" w14:textId="77777777" w:rsidR="00DA7A12" w:rsidRDefault="00000000">
      <w:pPr>
        <w:pStyle w:val="13"/>
        <w:outlineLvl w:val="1"/>
        <w:rPr>
          <w:sz w:val="32"/>
          <w:szCs w:val="32"/>
        </w:rPr>
      </w:pPr>
      <w:bookmarkStart w:id="2" w:name="_Toc28166"/>
      <w:r>
        <w:rPr>
          <w:sz w:val="32"/>
          <w:szCs w:val="32"/>
        </w:rPr>
        <w:lastRenderedPageBreak/>
        <w:t>二、师资队伍</w:t>
      </w:r>
      <w:bookmarkEnd w:id="2"/>
    </w:p>
    <w:p w14:paraId="38FBD1B7"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学校建立了专业人才培养所必需的教师队伍。本专业师资力量雄厚，具体情况如下：</w:t>
      </w:r>
    </w:p>
    <w:p w14:paraId="2FA9266F"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教师总数：专任教师</w:t>
      </w:r>
      <w:r w:rsidRPr="0068249F">
        <w:rPr>
          <w:rFonts w:ascii="Times New Roman" w:eastAsia="仿宋_GB2312" w:hAnsi="Times New Roman" w:cs="Times New Roman" w:hint="eastAsia"/>
          <w:bCs/>
          <w:sz w:val="30"/>
          <w:szCs w:val="30"/>
        </w:rPr>
        <w:t>23</w:t>
      </w:r>
      <w:r>
        <w:rPr>
          <w:rFonts w:ascii="仿宋_GB2312" w:eastAsia="仿宋_GB2312" w:hAnsi="仿宋_GB2312" w:hint="eastAsia"/>
          <w:bCs/>
          <w:sz w:val="30"/>
          <w:szCs w:val="30"/>
        </w:rPr>
        <w:t>人，兼职教师</w:t>
      </w:r>
      <w:r w:rsidRPr="0068249F">
        <w:rPr>
          <w:rFonts w:ascii="Times New Roman" w:eastAsia="仿宋_GB2312" w:hAnsi="Times New Roman" w:cs="Times New Roman" w:hint="eastAsia"/>
          <w:bCs/>
          <w:sz w:val="30"/>
          <w:szCs w:val="30"/>
        </w:rPr>
        <w:t>9</w:t>
      </w:r>
      <w:r>
        <w:rPr>
          <w:rFonts w:ascii="仿宋_GB2312" w:eastAsia="仿宋_GB2312" w:hAnsi="仿宋_GB2312" w:hint="eastAsia"/>
          <w:bCs/>
          <w:sz w:val="30"/>
          <w:szCs w:val="30"/>
        </w:rPr>
        <w:t>人。</w:t>
      </w:r>
    </w:p>
    <w:p w14:paraId="073438B5"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生师比：专业全日制在校生规划人数为</w:t>
      </w:r>
      <w:r w:rsidRPr="0068249F">
        <w:rPr>
          <w:rFonts w:ascii="Times New Roman" w:eastAsia="仿宋_GB2312" w:hAnsi="Times New Roman" w:cs="Times New Roman" w:hint="eastAsia"/>
          <w:bCs/>
          <w:sz w:val="30"/>
          <w:szCs w:val="30"/>
        </w:rPr>
        <w:t>396</w:t>
      </w:r>
      <w:r>
        <w:rPr>
          <w:rFonts w:ascii="仿宋_GB2312" w:eastAsia="仿宋_GB2312" w:hAnsi="仿宋_GB2312" w:hint="eastAsia"/>
          <w:bCs/>
          <w:sz w:val="30"/>
          <w:szCs w:val="30"/>
        </w:rPr>
        <w:t>人，专任教师与在校生人数之比约为</w:t>
      </w:r>
      <w:r w:rsidRPr="0068249F">
        <w:rPr>
          <w:rFonts w:ascii="Times New Roman" w:eastAsia="仿宋_GB2312" w:hAnsi="Times New Roman" w:cs="Times New Roman" w:hint="eastAsia"/>
          <w:bCs/>
          <w:sz w:val="30"/>
          <w:szCs w:val="30"/>
        </w:rPr>
        <w:t>1</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17</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22</w:t>
      </w:r>
      <w:r>
        <w:rPr>
          <w:rFonts w:ascii="仿宋_GB2312" w:eastAsia="仿宋_GB2312" w:hAnsi="仿宋_GB2312" w:hint="eastAsia"/>
          <w:bCs/>
          <w:sz w:val="30"/>
          <w:szCs w:val="30"/>
        </w:rPr>
        <w:t>，满足要求。</w:t>
      </w:r>
    </w:p>
    <w:p w14:paraId="79703D0F"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职称结构：专任教师中具有副教授及以上职称教师</w:t>
      </w:r>
      <w:r w:rsidRPr="0068249F">
        <w:rPr>
          <w:rFonts w:ascii="Times New Roman" w:eastAsia="仿宋_GB2312" w:hAnsi="Times New Roman" w:cs="Times New Roman" w:hint="eastAsia"/>
          <w:bCs/>
          <w:sz w:val="30"/>
          <w:szCs w:val="30"/>
        </w:rPr>
        <w:t>11</w:t>
      </w:r>
      <w:r>
        <w:rPr>
          <w:rFonts w:ascii="仿宋_GB2312" w:eastAsia="仿宋_GB2312" w:hAnsi="仿宋_GB2312" w:hint="eastAsia"/>
          <w:bCs/>
          <w:sz w:val="30"/>
          <w:szCs w:val="30"/>
        </w:rPr>
        <w:t>人，占比</w:t>
      </w:r>
      <w:r w:rsidRPr="0068249F">
        <w:rPr>
          <w:rFonts w:ascii="Times New Roman" w:eastAsia="仿宋_GB2312" w:hAnsi="Times New Roman" w:cs="Times New Roman" w:hint="eastAsia"/>
          <w:bCs/>
          <w:sz w:val="30"/>
          <w:szCs w:val="30"/>
        </w:rPr>
        <w:t>47</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8</w:t>
      </w:r>
      <w:r>
        <w:rPr>
          <w:rFonts w:ascii="仿宋_GB2312" w:eastAsia="仿宋_GB2312" w:hAnsi="仿宋_GB2312" w:hint="eastAsia"/>
          <w:bCs/>
          <w:sz w:val="30"/>
          <w:szCs w:val="30"/>
        </w:rPr>
        <w:t>%；其中教授</w:t>
      </w:r>
      <w:r w:rsidRPr="0068249F">
        <w:rPr>
          <w:rFonts w:ascii="Times New Roman" w:eastAsia="仿宋_GB2312" w:hAnsi="Times New Roman" w:cs="Times New Roman" w:hint="eastAsia"/>
          <w:bCs/>
          <w:sz w:val="30"/>
          <w:szCs w:val="30"/>
        </w:rPr>
        <w:t>2</w:t>
      </w:r>
      <w:r>
        <w:rPr>
          <w:rFonts w:ascii="仿宋_GB2312" w:eastAsia="仿宋_GB2312" w:hAnsi="仿宋_GB2312" w:hint="eastAsia"/>
          <w:bCs/>
          <w:sz w:val="30"/>
          <w:szCs w:val="30"/>
        </w:rPr>
        <w:t>人。</w:t>
      </w:r>
    </w:p>
    <w:p w14:paraId="61E36953"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学位结构：专任教师中具有硕士及以上学位教师</w:t>
      </w:r>
      <w:r w:rsidRPr="0068249F">
        <w:rPr>
          <w:rFonts w:ascii="Times New Roman" w:eastAsia="仿宋_GB2312" w:hAnsi="Times New Roman" w:cs="Times New Roman" w:hint="eastAsia"/>
          <w:bCs/>
          <w:sz w:val="30"/>
          <w:szCs w:val="30"/>
        </w:rPr>
        <w:t>18</w:t>
      </w:r>
      <w:r>
        <w:rPr>
          <w:rFonts w:ascii="仿宋_GB2312" w:eastAsia="仿宋_GB2312" w:hAnsi="仿宋_GB2312" w:hint="eastAsia"/>
          <w:bCs/>
          <w:sz w:val="30"/>
          <w:szCs w:val="30"/>
        </w:rPr>
        <w:t>人，占比</w:t>
      </w:r>
      <w:r w:rsidRPr="0068249F">
        <w:rPr>
          <w:rFonts w:ascii="Times New Roman" w:eastAsia="仿宋_GB2312" w:hAnsi="Times New Roman" w:cs="Times New Roman" w:hint="eastAsia"/>
          <w:bCs/>
          <w:sz w:val="30"/>
          <w:szCs w:val="30"/>
        </w:rPr>
        <w:t>78</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3</w:t>
      </w:r>
      <w:r>
        <w:rPr>
          <w:rFonts w:ascii="仿宋_GB2312" w:eastAsia="仿宋_GB2312" w:hAnsi="仿宋_GB2312" w:hint="eastAsia"/>
          <w:bCs/>
          <w:sz w:val="30"/>
          <w:szCs w:val="30"/>
        </w:rPr>
        <w:t>%；其中具有博士学位教师</w:t>
      </w:r>
      <w:r w:rsidRPr="0068249F">
        <w:rPr>
          <w:rFonts w:ascii="Times New Roman" w:eastAsia="仿宋_GB2312" w:hAnsi="Times New Roman" w:cs="Times New Roman" w:hint="eastAsia"/>
          <w:bCs/>
          <w:sz w:val="30"/>
          <w:szCs w:val="30"/>
        </w:rPr>
        <w:t>4</w:t>
      </w:r>
      <w:r>
        <w:rPr>
          <w:rFonts w:ascii="仿宋_GB2312" w:eastAsia="仿宋_GB2312" w:hAnsi="仿宋_GB2312" w:hint="eastAsia"/>
          <w:bCs/>
          <w:sz w:val="30"/>
          <w:szCs w:val="30"/>
        </w:rPr>
        <w:t>人，占比</w:t>
      </w:r>
      <w:r w:rsidRPr="0068249F">
        <w:rPr>
          <w:rFonts w:ascii="Times New Roman" w:eastAsia="仿宋_GB2312" w:hAnsi="Times New Roman" w:cs="Times New Roman" w:hint="eastAsia"/>
          <w:bCs/>
          <w:sz w:val="30"/>
          <w:szCs w:val="30"/>
        </w:rPr>
        <w:t>17</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4</w:t>
      </w:r>
      <w:r>
        <w:rPr>
          <w:rFonts w:ascii="仿宋_GB2312" w:eastAsia="仿宋_GB2312" w:hAnsi="仿宋_GB2312" w:hint="eastAsia"/>
          <w:bCs/>
          <w:sz w:val="30"/>
          <w:szCs w:val="30"/>
        </w:rPr>
        <w:t>%。</w:t>
      </w:r>
    </w:p>
    <w:p w14:paraId="6C4C7F2C"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“双师型”教师：专任教师中“双师型”教师</w:t>
      </w:r>
      <w:r w:rsidRPr="0068249F">
        <w:rPr>
          <w:rFonts w:ascii="Times New Roman" w:eastAsia="仿宋_GB2312" w:hAnsi="Times New Roman" w:cs="Times New Roman" w:hint="eastAsia"/>
          <w:bCs/>
          <w:sz w:val="30"/>
          <w:szCs w:val="30"/>
        </w:rPr>
        <w:t>20</w:t>
      </w:r>
      <w:r>
        <w:rPr>
          <w:rFonts w:ascii="仿宋_GB2312" w:eastAsia="仿宋_GB2312" w:hAnsi="仿宋_GB2312" w:hint="eastAsia"/>
          <w:bCs/>
          <w:sz w:val="30"/>
          <w:szCs w:val="30"/>
        </w:rPr>
        <w:t>人，占比</w:t>
      </w:r>
      <w:r w:rsidRPr="0068249F">
        <w:rPr>
          <w:rFonts w:ascii="Times New Roman" w:eastAsia="仿宋_GB2312" w:hAnsi="Times New Roman" w:cs="Times New Roman" w:hint="eastAsia"/>
          <w:bCs/>
          <w:sz w:val="30"/>
          <w:szCs w:val="30"/>
        </w:rPr>
        <w:t>87</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0</w:t>
      </w:r>
      <w:r>
        <w:rPr>
          <w:rFonts w:ascii="仿宋_GB2312" w:eastAsia="仿宋_GB2312" w:hAnsi="仿宋_GB2312" w:hint="eastAsia"/>
          <w:bCs/>
          <w:sz w:val="30"/>
          <w:szCs w:val="30"/>
        </w:rPr>
        <w:t>%。</w:t>
      </w:r>
    </w:p>
    <w:p w14:paraId="4DB7BC03"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兼职教师：来自行业企业一线的兼职教师</w:t>
      </w:r>
      <w:r w:rsidRPr="0068249F">
        <w:rPr>
          <w:rFonts w:ascii="Times New Roman" w:eastAsia="仿宋_GB2312" w:hAnsi="Times New Roman" w:cs="Times New Roman" w:hint="eastAsia"/>
          <w:bCs/>
          <w:sz w:val="30"/>
          <w:szCs w:val="30"/>
        </w:rPr>
        <w:t>9</w:t>
      </w:r>
      <w:r>
        <w:rPr>
          <w:rFonts w:ascii="仿宋_GB2312" w:eastAsia="仿宋_GB2312" w:hAnsi="仿宋_GB2312" w:hint="eastAsia"/>
          <w:bCs/>
          <w:sz w:val="30"/>
          <w:szCs w:val="30"/>
        </w:rPr>
        <w:t>人，其所承担的专业课教学任务授课课时占专业课总学时的</w:t>
      </w:r>
      <w:r w:rsidRPr="0068249F">
        <w:rPr>
          <w:rFonts w:ascii="Times New Roman" w:eastAsia="仿宋_GB2312" w:hAnsi="Times New Roman" w:cs="Times New Roman" w:hint="eastAsia"/>
          <w:bCs/>
          <w:sz w:val="30"/>
          <w:szCs w:val="30"/>
        </w:rPr>
        <w:t>20</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24</w:t>
      </w:r>
      <w:r>
        <w:rPr>
          <w:rFonts w:ascii="仿宋_GB2312" w:eastAsia="仿宋_GB2312" w:hAnsi="仿宋_GB2312" w:hint="eastAsia"/>
          <w:bCs/>
          <w:sz w:val="30"/>
          <w:szCs w:val="30"/>
        </w:rPr>
        <w:t>%。</w:t>
      </w:r>
    </w:p>
    <w:p w14:paraId="1CB490D7"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专业拥有省级及以上教育行政部门认定的高水平教师教学（科研）创新团队——全国高校黄大年式教师团队（成员）。有省级教学名师</w:t>
      </w:r>
      <w:r w:rsidRPr="0068249F">
        <w:rPr>
          <w:rFonts w:ascii="Times New Roman" w:eastAsia="仿宋_GB2312" w:hAnsi="Times New Roman" w:cs="Times New Roman" w:hint="eastAsia"/>
          <w:bCs/>
          <w:sz w:val="30"/>
          <w:szCs w:val="30"/>
        </w:rPr>
        <w:t>2</w:t>
      </w:r>
      <w:r>
        <w:rPr>
          <w:rFonts w:ascii="仿宋_GB2312" w:eastAsia="仿宋_GB2312" w:hAnsi="仿宋_GB2312" w:hint="eastAsia"/>
          <w:bCs/>
          <w:sz w:val="30"/>
          <w:szCs w:val="30"/>
        </w:rPr>
        <w:t>人，获得省级及以上教学领域有关奖励</w:t>
      </w:r>
      <w:r w:rsidRPr="0068249F">
        <w:rPr>
          <w:rFonts w:ascii="Times New Roman" w:eastAsia="仿宋_GB2312" w:hAnsi="Times New Roman" w:cs="Times New Roman" w:hint="eastAsia"/>
          <w:bCs/>
          <w:sz w:val="30"/>
          <w:szCs w:val="30"/>
        </w:rPr>
        <w:t>6</w:t>
      </w:r>
      <w:r>
        <w:rPr>
          <w:rFonts w:ascii="仿宋_GB2312" w:eastAsia="仿宋_GB2312" w:hAnsi="仿宋_GB2312" w:hint="eastAsia"/>
          <w:bCs/>
          <w:sz w:val="30"/>
          <w:szCs w:val="30"/>
        </w:rPr>
        <w:t>项。专业师资队伍职称、学历、年龄结构合理，学</w:t>
      </w:r>
      <w:proofErr w:type="gramStart"/>
      <w:r>
        <w:rPr>
          <w:rFonts w:ascii="仿宋_GB2312" w:eastAsia="仿宋_GB2312" w:hAnsi="仿宋_GB2312" w:hint="eastAsia"/>
          <w:bCs/>
          <w:sz w:val="30"/>
          <w:szCs w:val="30"/>
        </w:rPr>
        <w:t>缘结构</w:t>
      </w:r>
      <w:proofErr w:type="gramEnd"/>
      <w:r>
        <w:rPr>
          <w:rFonts w:ascii="仿宋_GB2312" w:eastAsia="仿宋_GB2312" w:hAnsi="仿宋_GB2312" w:hint="eastAsia"/>
          <w:bCs/>
          <w:sz w:val="30"/>
          <w:szCs w:val="30"/>
        </w:rPr>
        <w:t>优化，完全能够胜任本专业所有课程的教学任务。</w:t>
      </w:r>
    </w:p>
    <w:p w14:paraId="56254219" w14:textId="77777777" w:rsidR="00DA7A12" w:rsidRDefault="00000000">
      <w:pPr>
        <w:pStyle w:val="13"/>
        <w:outlineLvl w:val="1"/>
        <w:rPr>
          <w:sz w:val="32"/>
          <w:szCs w:val="32"/>
        </w:rPr>
      </w:pPr>
      <w:bookmarkStart w:id="3" w:name="_Toc23895"/>
      <w:r>
        <w:rPr>
          <w:sz w:val="32"/>
          <w:szCs w:val="32"/>
        </w:rPr>
        <w:t>三、人才培养</w:t>
      </w:r>
      <w:bookmarkEnd w:id="3"/>
    </w:p>
    <w:p w14:paraId="6E65A98C"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本专业坚持立德树人，以学生为中心，以产业发展为导向，以提高人才培养质量为核心，以培养“复合型高层次技术技能人才”为目标，深化教育教学改革。培养方案由校企共同制定，遵循技术技能人才成长规律，突出知识与技能的高层次。经过科学</w:t>
      </w:r>
      <w:r>
        <w:rPr>
          <w:rFonts w:ascii="仿宋_GB2312" w:eastAsia="仿宋_GB2312" w:hAnsi="仿宋_GB2312" w:hint="eastAsia"/>
          <w:bCs/>
          <w:sz w:val="30"/>
          <w:szCs w:val="30"/>
        </w:rPr>
        <w:lastRenderedPageBreak/>
        <w:t>论证，专业课程设置合理，具有规范、先进的专业人才培养方案和课程标准。</w:t>
      </w:r>
    </w:p>
    <w:p w14:paraId="4D265259"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培养方案概要：学制</w:t>
      </w:r>
      <w:r w:rsidRPr="0068249F">
        <w:rPr>
          <w:rFonts w:ascii="Times New Roman" w:eastAsia="仿宋_GB2312" w:hAnsi="Times New Roman" w:cs="Times New Roman" w:hint="eastAsia"/>
          <w:bCs/>
          <w:sz w:val="30"/>
          <w:szCs w:val="30"/>
        </w:rPr>
        <w:t>4</w:t>
      </w:r>
      <w:r>
        <w:rPr>
          <w:rFonts w:ascii="仿宋_GB2312" w:eastAsia="仿宋_GB2312" w:hAnsi="仿宋_GB2312" w:hint="eastAsia"/>
          <w:bCs/>
          <w:sz w:val="30"/>
          <w:szCs w:val="30"/>
        </w:rPr>
        <w:t>年，弹性修业年限</w:t>
      </w:r>
      <w:r w:rsidRPr="0068249F">
        <w:rPr>
          <w:rFonts w:ascii="Times New Roman" w:eastAsia="仿宋_GB2312" w:hAnsi="Times New Roman" w:cs="Times New Roman" w:hint="eastAsia"/>
          <w:bCs/>
          <w:sz w:val="30"/>
          <w:szCs w:val="30"/>
        </w:rPr>
        <w:t>3</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6</w:t>
      </w:r>
      <w:r>
        <w:rPr>
          <w:rFonts w:ascii="仿宋_GB2312" w:eastAsia="仿宋_GB2312" w:hAnsi="仿宋_GB2312" w:hint="eastAsia"/>
          <w:bCs/>
          <w:sz w:val="30"/>
          <w:szCs w:val="30"/>
        </w:rPr>
        <w:t>年。总学分</w:t>
      </w:r>
      <w:r w:rsidRPr="0068249F">
        <w:rPr>
          <w:rFonts w:ascii="Times New Roman" w:eastAsia="仿宋_GB2312" w:hAnsi="Times New Roman" w:cs="Times New Roman" w:hint="eastAsia"/>
          <w:bCs/>
          <w:sz w:val="30"/>
          <w:szCs w:val="30"/>
        </w:rPr>
        <w:t>177</w:t>
      </w:r>
      <w:r>
        <w:rPr>
          <w:rFonts w:ascii="仿宋_GB2312" w:eastAsia="仿宋_GB2312" w:hAnsi="仿宋_GB2312" w:hint="eastAsia"/>
          <w:bCs/>
          <w:sz w:val="30"/>
          <w:szCs w:val="30"/>
        </w:rPr>
        <w:t>，总学时</w:t>
      </w:r>
      <w:r w:rsidRPr="0068249F">
        <w:rPr>
          <w:rFonts w:ascii="Times New Roman" w:eastAsia="仿宋_GB2312" w:hAnsi="Times New Roman" w:cs="Times New Roman" w:hint="eastAsia"/>
          <w:bCs/>
          <w:sz w:val="30"/>
          <w:szCs w:val="30"/>
        </w:rPr>
        <w:t>3429</w:t>
      </w:r>
      <w:r>
        <w:rPr>
          <w:rFonts w:ascii="仿宋_GB2312" w:eastAsia="仿宋_GB2312" w:hAnsi="仿宋_GB2312" w:hint="eastAsia"/>
          <w:bCs/>
          <w:sz w:val="30"/>
          <w:szCs w:val="30"/>
        </w:rPr>
        <w:t>。其中公共基础平台课</w:t>
      </w:r>
      <w:r w:rsidRPr="0068249F">
        <w:rPr>
          <w:rFonts w:ascii="Times New Roman" w:eastAsia="仿宋_GB2312" w:hAnsi="Times New Roman" w:cs="Times New Roman" w:hint="eastAsia"/>
          <w:bCs/>
          <w:sz w:val="30"/>
          <w:szCs w:val="30"/>
        </w:rPr>
        <w:t>57</w:t>
      </w:r>
      <w:r>
        <w:rPr>
          <w:rFonts w:ascii="仿宋_GB2312" w:eastAsia="仿宋_GB2312" w:hAnsi="仿宋_GB2312" w:hint="eastAsia"/>
          <w:bCs/>
          <w:sz w:val="30"/>
          <w:szCs w:val="30"/>
        </w:rPr>
        <w:t>学分（</w:t>
      </w:r>
      <w:r w:rsidRPr="0068249F">
        <w:rPr>
          <w:rFonts w:ascii="Times New Roman" w:eastAsia="仿宋_GB2312" w:hAnsi="Times New Roman" w:cs="Times New Roman" w:hint="eastAsia"/>
          <w:bCs/>
          <w:sz w:val="30"/>
          <w:szCs w:val="30"/>
        </w:rPr>
        <w:t>1038</w:t>
      </w:r>
      <w:r>
        <w:rPr>
          <w:rFonts w:ascii="仿宋_GB2312" w:eastAsia="仿宋_GB2312" w:hAnsi="仿宋_GB2312" w:hint="eastAsia"/>
          <w:bCs/>
          <w:sz w:val="30"/>
          <w:szCs w:val="30"/>
        </w:rPr>
        <w:t>学时），专业基础平台课</w:t>
      </w:r>
      <w:r w:rsidRPr="0068249F">
        <w:rPr>
          <w:rFonts w:ascii="Times New Roman" w:eastAsia="仿宋_GB2312" w:hAnsi="Times New Roman" w:cs="Times New Roman" w:hint="eastAsia"/>
          <w:bCs/>
          <w:sz w:val="30"/>
          <w:szCs w:val="30"/>
        </w:rPr>
        <w:t>37</w:t>
      </w:r>
      <w:r>
        <w:rPr>
          <w:rFonts w:ascii="仿宋_GB2312" w:eastAsia="仿宋_GB2312" w:hAnsi="仿宋_GB2312" w:hint="eastAsia"/>
          <w:bCs/>
          <w:sz w:val="30"/>
          <w:szCs w:val="30"/>
        </w:rPr>
        <w:t>学分（</w:t>
      </w:r>
      <w:r w:rsidRPr="0068249F">
        <w:rPr>
          <w:rFonts w:ascii="Times New Roman" w:eastAsia="仿宋_GB2312" w:hAnsi="Times New Roman" w:cs="Times New Roman" w:hint="eastAsia"/>
          <w:bCs/>
          <w:sz w:val="30"/>
          <w:szCs w:val="30"/>
        </w:rPr>
        <w:t>664</w:t>
      </w:r>
      <w:r>
        <w:rPr>
          <w:rFonts w:ascii="仿宋_GB2312" w:eastAsia="仿宋_GB2312" w:hAnsi="仿宋_GB2312" w:hint="eastAsia"/>
          <w:bCs/>
          <w:sz w:val="30"/>
          <w:szCs w:val="30"/>
        </w:rPr>
        <w:t>学时），岗位能力模块课</w:t>
      </w:r>
      <w:r w:rsidRPr="0068249F">
        <w:rPr>
          <w:rFonts w:ascii="Times New Roman" w:eastAsia="仿宋_GB2312" w:hAnsi="Times New Roman" w:cs="Times New Roman" w:hint="eastAsia"/>
          <w:bCs/>
          <w:sz w:val="30"/>
          <w:szCs w:val="30"/>
        </w:rPr>
        <w:t>55</w:t>
      </w:r>
      <w:r>
        <w:rPr>
          <w:rFonts w:ascii="仿宋_GB2312" w:eastAsia="仿宋_GB2312" w:hAnsi="仿宋_GB2312" w:hint="eastAsia"/>
          <w:bCs/>
          <w:sz w:val="30"/>
          <w:szCs w:val="30"/>
        </w:rPr>
        <w:t>学分（</w:t>
      </w:r>
      <w:r w:rsidRPr="0068249F">
        <w:rPr>
          <w:rFonts w:ascii="Times New Roman" w:eastAsia="仿宋_GB2312" w:hAnsi="Times New Roman" w:cs="Times New Roman" w:hint="eastAsia"/>
          <w:bCs/>
          <w:sz w:val="30"/>
          <w:szCs w:val="30"/>
        </w:rPr>
        <w:t>1223</w:t>
      </w:r>
      <w:r>
        <w:rPr>
          <w:rFonts w:ascii="仿宋_GB2312" w:eastAsia="仿宋_GB2312" w:hAnsi="仿宋_GB2312" w:hint="eastAsia"/>
          <w:bCs/>
          <w:sz w:val="30"/>
          <w:szCs w:val="30"/>
        </w:rPr>
        <w:t>学时），技术技能进</w:t>
      </w:r>
      <w:proofErr w:type="gramStart"/>
      <w:r>
        <w:rPr>
          <w:rFonts w:ascii="仿宋_GB2312" w:eastAsia="仿宋_GB2312" w:hAnsi="仿宋_GB2312" w:hint="eastAsia"/>
          <w:bCs/>
          <w:sz w:val="30"/>
          <w:szCs w:val="30"/>
        </w:rPr>
        <w:t>阶项目课</w:t>
      </w:r>
      <w:proofErr w:type="gramEnd"/>
      <w:r w:rsidRPr="0068249F">
        <w:rPr>
          <w:rFonts w:ascii="Times New Roman" w:eastAsia="仿宋_GB2312" w:hAnsi="Times New Roman" w:cs="Times New Roman" w:hint="eastAsia"/>
          <w:bCs/>
          <w:sz w:val="30"/>
          <w:szCs w:val="30"/>
        </w:rPr>
        <w:t>13</w:t>
      </w:r>
      <w:r>
        <w:rPr>
          <w:rFonts w:ascii="仿宋_GB2312" w:eastAsia="仿宋_GB2312" w:hAnsi="仿宋_GB2312" w:hint="eastAsia"/>
          <w:bCs/>
          <w:sz w:val="30"/>
          <w:szCs w:val="30"/>
        </w:rPr>
        <w:t>学分（</w:t>
      </w:r>
      <w:r w:rsidRPr="0068249F">
        <w:rPr>
          <w:rFonts w:ascii="Times New Roman" w:eastAsia="仿宋_GB2312" w:hAnsi="Times New Roman" w:cs="Times New Roman" w:hint="eastAsia"/>
          <w:bCs/>
          <w:sz w:val="30"/>
          <w:szCs w:val="30"/>
        </w:rPr>
        <w:t>260</w:t>
      </w:r>
      <w:r>
        <w:rPr>
          <w:rFonts w:ascii="仿宋_GB2312" w:eastAsia="仿宋_GB2312" w:hAnsi="仿宋_GB2312" w:hint="eastAsia"/>
          <w:bCs/>
          <w:sz w:val="30"/>
          <w:szCs w:val="30"/>
        </w:rPr>
        <w:t>学时），综合素质课</w:t>
      </w:r>
      <w:r w:rsidRPr="0068249F">
        <w:rPr>
          <w:rFonts w:ascii="Times New Roman" w:eastAsia="仿宋_GB2312" w:hAnsi="Times New Roman" w:cs="Times New Roman" w:hint="eastAsia"/>
          <w:bCs/>
          <w:sz w:val="30"/>
          <w:szCs w:val="30"/>
        </w:rPr>
        <w:t>15</w:t>
      </w:r>
      <w:r>
        <w:rPr>
          <w:rFonts w:ascii="仿宋_GB2312" w:eastAsia="仿宋_GB2312" w:hAnsi="仿宋_GB2312" w:hint="eastAsia"/>
          <w:bCs/>
          <w:sz w:val="30"/>
          <w:szCs w:val="30"/>
        </w:rPr>
        <w:t>学分（</w:t>
      </w:r>
      <w:r w:rsidRPr="0068249F">
        <w:rPr>
          <w:rFonts w:ascii="Times New Roman" w:eastAsia="仿宋_GB2312" w:hAnsi="Times New Roman" w:cs="Times New Roman" w:hint="eastAsia"/>
          <w:bCs/>
          <w:sz w:val="30"/>
          <w:szCs w:val="30"/>
        </w:rPr>
        <w:t>175</w:t>
      </w:r>
      <w:r>
        <w:rPr>
          <w:rFonts w:ascii="仿宋_GB2312" w:eastAsia="仿宋_GB2312" w:hAnsi="仿宋_GB2312" w:hint="eastAsia"/>
          <w:bCs/>
          <w:sz w:val="30"/>
          <w:szCs w:val="30"/>
        </w:rPr>
        <w:t>学时）。</w:t>
      </w:r>
    </w:p>
    <w:p w14:paraId="52320F26"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实践教学：集中性实践教学环节</w:t>
      </w:r>
      <w:r w:rsidRPr="0068249F">
        <w:rPr>
          <w:rFonts w:ascii="Times New Roman" w:eastAsia="仿宋_GB2312" w:hAnsi="Times New Roman" w:cs="Times New Roman" w:hint="eastAsia"/>
          <w:bCs/>
          <w:sz w:val="30"/>
          <w:szCs w:val="30"/>
        </w:rPr>
        <w:t>29</w:t>
      </w:r>
      <w:r>
        <w:rPr>
          <w:rFonts w:ascii="仿宋_GB2312" w:eastAsia="仿宋_GB2312" w:hAnsi="仿宋_GB2312" w:hint="eastAsia"/>
          <w:bCs/>
          <w:sz w:val="30"/>
          <w:szCs w:val="30"/>
        </w:rPr>
        <w:t>个，实践</w:t>
      </w:r>
      <w:proofErr w:type="gramStart"/>
      <w:r>
        <w:rPr>
          <w:rFonts w:ascii="仿宋_GB2312" w:eastAsia="仿宋_GB2312" w:hAnsi="仿宋_GB2312" w:hint="eastAsia"/>
          <w:bCs/>
          <w:sz w:val="30"/>
          <w:szCs w:val="30"/>
        </w:rPr>
        <w:t>教学总</w:t>
      </w:r>
      <w:proofErr w:type="gramEnd"/>
      <w:r>
        <w:rPr>
          <w:rFonts w:ascii="仿宋_GB2312" w:eastAsia="仿宋_GB2312" w:hAnsi="仿宋_GB2312" w:hint="eastAsia"/>
          <w:bCs/>
          <w:sz w:val="30"/>
          <w:szCs w:val="30"/>
        </w:rPr>
        <w:t>学时</w:t>
      </w:r>
      <w:r w:rsidRPr="0068249F">
        <w:rPr>
          <w:rFonts w:ascii="Times New Roman" w:eastAsia="仿宋_GB2312" w:hAnsi="Times New Roman" w:cs="Times New Roman" w:hint="eastAsia"/>
          <w:bCs/>
          <w:sz w:val="30"/>
          <w:szCs w:val="30"/>
        </w:rPr>
        <w:t>2063</w:t>
      </w:r>
      <w:r>
        <w:rPr>
          <w:rFonts w:ascii="仿宋_GB2312" w:eastAsia="仿宋_GB2312" w:hAnsi="仿宋_GB2312" w:hint="eastAsia"/>
          <w:bCs/>
          <w:sz w:val="30"/>
          <w:szCs w:val="30"/>
        </w:rPr>
        <w:t>，占总学时比例</w:t>
      </w:r>
      <w:r w:rsidRPr="0068249F">
        <w:rPr>
          <w:rFonts w:ascii="Times New Roman" w:eastAsia="仿宋_GB2312" w:hAnsi="Times New Roman" w:cs="Times New Roman" w:hint="eastAsia"/>
          <w:bCs/>
          <w:sz w:val="30"/>
          <w:szCs w:val="30"/>
        </w:rPr>
        <w:t>60</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20</w:t>
      </w:r>
      <w:r>
        <w:rPr>
          <w:rFonts w:ascii="仿宋_GB2312" w:eastAsia="仿宋_GB2312" w:hAnsi="仿宋_GB2312" w:hint="eastAsia"/>
          <w:bCs/>
          <w:sz w:val="30"/>
          <w:szCs w:val="30"/>
        </w:rPr>
        <w:t>%。实验实训项目（任务）开出率达到</w:t>
      </w:r>
      <w:r w:rsidRPr="0068249F">
        <w:rPr>
          <w:rFonts w:ascii="Times New Roman" w:eastAsia="仿宋_GB2312" w:hAnsi="Times New Roman" w:cs="Times New Roman" w:hint="eastAsia"/>
          <w:bCs/>
          <w:sz w:val="30"/>
          <w:szCs w:val="30"/>
        </w:rPr>
        <w:t>100</w:t>
      </w:r>
      <w:r>
        <w:rPr>
          <w:rFonts w:ascii="仿宋_GB2312" w:eastAsia="仿宋_GB2312" w:hAnsi="仿宋_GB2312" w:hint="eastAsia"/>
          <w:bCs/>
          <w:sz w:val="30"/>
          <w:szCs w:val="30"/>
        </w:rPr>
        <w:t>%。</w:t>
      </w:r>
    </w:p>
    <w:p w14:paraId="657C1771"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学位课程：包括高等数学、大学物理、电路分析基础、电子技术基础、电力电子技术、光伏发电工程技术、光热发电工程技术等。</w:t>
      </w:r>
    </w:p>
    <w:p w14:paraId="649C46CE"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主要实践环节：包括电工基本技能实训、光热系统仿真实训、光伏系统集成实训、光伏电站智能运维实训、光热电站运行仿真、智能微电网实训、新能源场站数据分析实训、岗位实习、毕业设计等。</w:t>
      </w:r>
    </w:p>
    <w:p w14:paraId="5A55373C" w14:textId="77777777" w:rsidR="00DA7A12" w:rsidRDefault="00000000">
      <w:pPr>
        <w:pStyle w:val="13"/>
        <w:outlineLvl w:val="1"/>
        <w:rPr>
          <w:sz w:val="32"/>
          <w:szCs w:val="32"/>
        </w:rPr>
      </w:pPr>
      <w:bookmarkStart w:id="4" w:name="_Toc3035"/>
      <w:r>
        <w:rPr>
          <w:sz w:val="32"/>
          <w:szCs w:val="32"/>
        </w:rPr>
        <w:t>四、教学条件</w:t>
      </w:r>
      <w:bookmarkEnd w:id="4"/>
    </w:p>
    <w:p w14:paraId="1234CFF1" w14:textId="77777777" w:rsidR="00DA7A12" w:rsidRDefault="00000000">
      <w:pPr>
        <w:pStyle w:val="21"/>
        <w:numPr>
          <w:ilvl w:val="0"/>
          <w:numId w:val="4"/>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学校基本条件</w:t>
      </w:r>
    </w:p>
    <w:p w14:paraId="0F1A0D8C"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兰州石化职业技术大学是</w:t>
      </w:r>
      <w:r w:rsidRPr="0068249F">
        <w:rPr>
          <w:rFonts w:ascii="Times New Roman" w:eastAsia="仿宋_GB2312" w:hAnsi="Times New Roman" w:cs="Times New Roman" w:hint="eastAsia"/>
          <w:bCs/>
          <w:sz w:val="30"/>
          <w:szCs w:val="30"/>
        </w:rPr>
        <w:t>2021</w:t>
      </w:r>
      <w:r>
        <w:rPr>
          <w:rFonts w:ascii="仿宋_GB2312" w:eastAsia="仿宋_GB2312" w:hAnsi="仿宋_GB2312" w:hint="eastAsia"/>
          <w:bCs/>
          <w:sz w:val="30"/>
          <w:szCs w:val="30"/>
        </w:rPr>
        <w:t>年</w:t>
      </w:r>
      <w:r w:rsidRPr="0068249F">
        <w:rPr>
          <w:rFonts w:ascii="Times New Roman" w:eastAsia="仿宋_GB2312" w:hAnsi="Times New Roman" w:cs="Times New Roman" w:hint="eastAsia"/>
          <w:bCs/>
          <w:sz w:val="30"/>
          <w:szCs w:val="30"/>
        </w:rPr>
        <w:t>5</w:t>
      </w:r>
      <w:r>
        <w:rPr>
          <w:rFonts w:ascii="仿宋_GB2312" w:eastAsia="仿宋_GB2312" w:hAnsi="仿宋_GB2312" w:hint="eastAsia"/>
          <w:bCs/>
          <w:sz w:val="30"/>
          <w:szCs w:val="30"/>
        </w:rPr>
        <w:t>月经教育部批准设立的全国首批公办职业本科学校之一。学校现有</w:t>
      </w:r>
      <w:proofErr w:type="gramStart"/>
      <w:r>
        <w:rPr>
          <w:rFonts w:ascii="仿宋_GB2312" w:eastAsia="仿宋_GB2312" w:hAnsi="仿宋_GB2312" w:hint="eastAsia"/>
          <w:bCs/>
          <w:sz w:val="30"/>
          <w:szCs w:val="30"/>
        </w:rPr>
        <w:t>西固东校区</w:t>
      </w:r>
      <w:proofErr w:type="gramEnd"/>
      <w:r>
        <w:rPr>
          <w:rFonts w:ascii="仿宋_GB2312" w:eastAsia="仿宋_GB2312" w:hAnsi="仿宋_GB2312" w:hint="eastAsia"/>
          <w:bCs/>
          <w:sz w:val="30"/>
          <w:szCs w:val="30"/>
        </w:rPr>
        <w:t>、西固西校区、新区校区和白银校区四个校区，形成了功能明确、布局合理的“三地四校区”办学格局。学校总建筑面积近</w:t>
      </w:r>
      <w:r w:rsidRPr="0068249F">
        <w:rPr>
          <w:rFonts w:ascii="Times New Roman" w:eastAsia="仿宋_GB2312" w:hAnsi="Times New Roman" w:cs="Times New Roman" w:hint="eastAsia"/>
          <w:bCs/>
          <w:sz w:val="30"/>
          <w:szCs w:val="30"/>
        </w:rPr>
        <w:t>80</w:t>
      </w:r>
      <w:r>
        <w:rPr>
          <w:rFonts w:ascii="仿宋_GB2312" w:eastAsia="仿宋_GB2312" w:hAnsi="仿宋_GB2312" w:hint="eastAsia"/>
          <w:bCs/>
          <w:sz w:val="30"/>
          <w:szCs w:val="30"/>
        </w:rPr>
        <w:t>万平方米，教学科研仪器设备总值</w:t>
      </w:r>
      <w:r w:rsidRPr="0068249F">
        <w:rPr>
          <w:rFonts w:ascii="Times New Roman" w:eastAsia="仿宋_GB2312" w:hAnsi="Times New Roman" w:cs="Times New Roman" w:hint="eastAsia"/>
          <w:bCs/>
          <w:sz w:val="30"/>
          <w:szCs w:val="30"/>
        </w:rPr>
        <w:t>5</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4</w:t>
      </w:r>
      <w:r>
        <w:rPr>
          <w:rFonts w:ascii="仿宋_GB2312" w:eastAsia="仿宋_GB2312" w:hAnsi="仿宋_GB2312" w:hint="eastAsia"/>
          <w:bCs/>
          <w:sz w:val="30"/>
          <w:szCs w:val="30"/>
        </w:rPr>
        <w:t>亿元。全日制在册学生</w:t>
      </w:r>
      <w:r w:rsidRPr="0068249F">
        <w:rPr>
          <w:rFonts w:ascii="Times New Roman" w:eastAsia="仿宋_GB2312" w:hAnsi="Times New Roman" w:cs="Times New Roman" w:hint="eastAsia"/>
          <w:bCs/>
          <w:sz w:val="30"/>
          <w:szCs w:val="30"/>
        </w:rPr>
        <w:t>24215</w:t>
      </w:r>
      <w:r>
        <w:rPr>
          <w:rFonts w:ascii="仿宋_GB2312" w:eastAsia="仿宋_GB2312" w:hAnsi="仿宋_GB2312" w:hint="eastAsia"/>
          <w:bCs/>
          <w:sz w:val="30"/>
          <w:szCs w:val="30"/>
        </w:rPr>
        <w:t>名。学校两轮入选国家“双高计划”建设单位，是国家示范性高职院校、</w:t>
      </w:r>
      <w:r>
        <w:rPr>
          <w:rFonts w:ascii="仿宋_GB2312" w:eastAsia="仿宋_GB2312" w:hAnsi="仿宋_GB2312" w:hint="eastAsia"/>
          <w:bCs/>
          <w:sz w:val="30"/>
          <w:szCs w:val="30"/>
        </w:rPr>
        <w:lastRenderedPageBreak/>
        <w:t>国家优质高职院校，荣获“全国文明单位”“全国文明校园”等多项荣誉，被誉为新中国石化职业教育的“工匠摇篮”。</w:t>
      </w:r>
    </w:p>
    <w:p w14:paraId="758661CA" w14:textId="77777777" w:rsidR="00DA7A12" w:rsidRDefault="00000000">
      <w:pPr>
        <w:pStyle w:val="21"/>
        <w:numPr>
          <w:ilvl w:val="0"/>
          <w:numId w:val="4"/>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主要课程的教材使用及建设</w:t>
      </w:r>
    </w:p>
    <w:p w14:paraId="3F62697C" w14:textId="77777777" w:rsidR="00DA7A12" w:rsidRDefault="00000000">
      <w:pPr>
        <w:spacing w:line="560" w:lineRule="exact"/>
        <w:ind w:firstLineChars="200" w:firstLine="600"/>
        <w:rPr>
          <w:rStyle w:val="ab"/>
          <w:rFonts w:hint="eastAsia"/>
          <w:b w:val="0"/>
        </w:rPr>
      </w:pPr>
      <w:r>
        <w:rPr>
          <w:rFonts w:ascii="仿宋_GB2312" w:eastAsia="仿宋_GB2312" w:hAnsi="仿宋_GB2312" w:hint="eastAsia"/>
          <w:bCs/>
          <w:sz w:val="30"/>
          <w:szCs w:val="30"/>
        </w:rPr>
        <w:t>严格执行国家教材选用规定，优先选用国家级规划教材、优秀教材及反映行业新技术、新规范的教材。鼓励教学团队开发融入“光热协同”等专业特色的新型活页式、工作手册式教材及数字化教学资源。</w:t>
      </w:r>
    </w:p>
    <w:p w14:paraId="3D75917D" w14:textId="77777777" w:rsidR="00DA7A12" w:rsidRDefault="00000000">
      <w:pPr>
        <w:pStyle w:val="21"/>
        <w:numPr>
          <w:ilvl w:val="0"/>
          <w:numId w:val="4"/>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校图书馆</w:t>
      </w:r>
    </w:p>
    <w:p w14:paraId="625B4146" w14:textId="77777777" w:rsidR="00DA7A12" w:rsidRDefault="00000000">
      <w:pPr>
        <w:spacing w:line="560" w:lineRule="exact"/>
        <w:ind w:firstLineChars="200" w:firstLine="600"/>
        <w:rPr>
          <w:rFonts w:hint="eastAsia"/>
        </w:rPr>
      </w:pPr>
      <w:r>
        <w:rPr>
          <w:rFonts w:ascii="仿宋_GB2312" w:eastAsia="仿宋_GB2312" w:hAnsi="仿宋_GB2312" w:hint="eastAsia"/>
          <w:bCs/>
          <w:sz w:val="30"/>
          <w:szCs w:val="30"/>
        </w:rPr>
        <w:t>图书馆现有馆舍四座：西固校区图书馆（东、西校区）建筑面积</w:t>
      </w:r>
      <w:r w:rsidRPr="0068249F">
        <w:rPr>
          <w:rFonts w:ascii="Times New Roman" w:eastAsia="仿宋_GB2312" w:hAnsi="Times New Roman" w:cs="Times New Roman" w:hint="eastAsia"/>
          <w:bCs/>
          <w:sz w:val="30"/>
          <w:szCs w:val="30"/>
        </w:rPr>
        <w:t>10000</w:t>
      </w:r>
      <w:r>
        <w:rPr>
          <w:rFonts w:ascii="仿宋_GB2312" w:eastAsia="仿宋_GB2312" w:hAnsi="仿宋_GB2312" w:hint="eastAsia"/>
          <w:bCs/>
          <w:sz w:val="30"/>
          <w:szCs w:val="30"/>
        </w:rPr>
        <w:t>余平方米，；设有自然科学书库、社会科学书库、工具书书库、</w:t>
      </w:r>
      <w:proofErr w:type="gramStart"/>
      <w:r>
        <w:rPr>
          <w:rFonts w:ascii="仿宋_GB2312" w:eastAsia="仿宋_GB2312" w:hAnsi="仿宋_GB2312" w:hint="eastAsia"/>
          <w:bCs/>
          <w:sz w:val="30"/>
          <w:szCs w:val="30"/>
        </w:rPr>
        <w:t>过刊库</w:t>
      </w:r>
      <w:proofErr w:type="gramEnd"/>
      <w:r>
        <w:rPr>
          <w:rFonts w:ascii="仿宋_GB2312" w:eastAsia="仿宋_GB2312" w:hAnsi="仿宋_GB2312" w:hint="eastAsia"/>
          <w:bCs/>
          <w:sz w:val="30"/>
          <w:szCs w:val="30"/>
        </w:rPr>
        <w:t>、阅览室、自修室等；新区校区图书馆建筑面积</w:t>
      </w:r>
      <w:r w:rsidRPr="0068249F">
        <w:rPr>
          <w:rFonts w:ascii="Times New Roman" w:eastAsia="仿宋_GB2312" w:hAnsi="Times New Roman" w:cs="Times New Roman" w:hint="eastAsia"/>
          <w:bCs/>
          <w:sz w:val="30"/>
          <w:szCs w:val="30"/>
        </w:rPr>
        <w:t>850</w:t>
      </w:r>
      <w:r>
        <w:rPr>
          <w:rFonts w:ascii="仿宋_GB2312" w:eastAsia="仿宋_GB2312" w:hAnsi="仿宋_GB2312" w:hint="eastAsia"/>
          <w:bCs/>
          <w:sz w:val="30"/>
          <w:szCs w:val="30"/>
        </w:rPr>
        <w:t>平方米；设有书库、阅览室、自习室等，已实行藏、借、阅为一体的全开放借阅形式；职教园区共享图书馆建筑面积</w:t>
      </w:r>
      <w:r w:rsidRPr="0068249F">
        <w:rPr>
          <w:rFonts w:ascii="Times New Roman" w:eastAsia="仿宋_GB2312" w:hAnsi="Times New Roman" w:cs="Times New Roman" w:hint="eastAsia"/>
          <w:bCs/>
          <w:sz w:val="30"/>
          <w:szCs w:val="30"/>
        </w:rPr>
        <w:t>39890</w:t>
      </w:r>
      <w:r>
        <w:rPr>
          <w:rFonts w:ascii="仿宋_GB2312" w:eastAsia="仿宋_GB2312" w:hAnsi="仿宋_GB2312" w:hint="eastAsia"/>
          <w:bCs/>
          <w:sz w:val="30"/>
          <w:szCs w:val="30"/>
        </w:rPr>
        <w:t>平方米，于</w:t>
      </w:r>
      <w:r w:rsidRPr="0068249F">
        <w:rPr>
          <w:rFonts w:ascii="Times New Roman" w:eastAsia="仿宋_GB2312" w:hAnsi="Times New Roman" w:cs="Times New Roman" w:hint="eastAsia"/>
          <w:bCs/>
          <w:sz w:val="30"/>
          <w:szCs w:val="30"/>
        </w:rPr>
        <w:t>2023</w:t>
      </w:r>
      <w:r>
        <w:rPr>
          <w:rFonts w:ascii="仿宋_GB2312" w:eastAsia="仿宋_GB2312" w:hAnsi="仿宋_GB2312" w:hint="eastAsia"/>
          <w:bCs/>
          <w:sz w:val="30"/>
          <w:szCs w:val="30"/>
        </w:rPr>
        <w:t>年挂牌使用，名称为“兰州石化职业技术大学新区校区图书馆”，已实行藏、借、阅为一体的全开放服务形式，可提供图书阅览、阅读研修、文化交流、学术研讨等服务，信息化、智能化、个性化突出，环境优雅，基础设施先进，学习氛围良好，是广大师生理想的学习场所和学术信息交流中心。</w:t>
      </w:r>
    </w:p>
    <w:p w14:paraId="61E4049A" w14:textId="77777777" w:rsidR="00DA7A12" w:rsidRDefault="00000000">
      <w:pPr>
        <w:pStyle w:val="21"/>
        <w:numPr>
          <w:ilvl w:val="0"/>
          <w:numId w:val="4"/>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网络课程资源</w:t>
      </w:r>
    </w:p>
    <w:p w14:paraId="0391708D"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本专业依托学校丰富的教学资源库，拥有包括省级精品在线开放课程在内的多门优质数字课程资源。专业教学团队承担多项省市校级教科研项目，取得系列专利、教材与论文成果，为信息化教学提供了良好基础。</w:t>
      </w:r>
    </w:p>
    <w:p w14:paraId="7D977436" w14:textId="77777777" w:rsidR="00DA7A12" w:rsidRDefault="00000000">
      <w:pPr>
        <w:pStyle w:val="21"/>
        <w:numPr>
          <w:ilvl w:val="0"/>
          <w:numId w:val="4"/>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主要扩充性资料</w:t>
      </w:r>
    </w:p>
    <w:p w14:paraId="36523527"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lastRenderedPageBreak/>
        <w:t>除了基本教材，为学生提供新能源行业技术标准、设备手册、典型案例库、学术期刊及专业数据库等丰富的扩充性学习资料，以拓展视野，提升分析和解决问题的能力。</w:t>
      </w:r>
    </w:p>
    <w:p w14:paraId="0ACDE4A0" w14:textId="77777777" w:rsidR="00DA7A12" w:rsidRDefault="00000000">
      <w:pPr>
        <w:pStyle w:val="21"/>
        <w:numPr>
          <w:ilvl w:val="0"/>
          <w:numId w:val="4"/>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实验室及实习基地建设</w:t>
      </w:r>
    </w:p>
    <w:p w14:paraId="17C87E3B"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校内实训基地：专业拥有国内先进的校内实训条件，包括</w:t>
      </w:r>
      <w:r w:rsidRPr="0068249F">
        <w:rPr>
          <w:rFonts w:ascii="Times New Roman" w:eastAsia="仿宋_GB2312" w:hAnsi="Times New Roman" w:cs="Times New Roman" w:hint="eastAsia"/>
          <w:bCs/>
          <w:sz w:val="30"/>
          <w:szCs w:val="30"/>
        </w:rPr>
        <w:t>1MW</w:t>
      </w:r>
      <w:r>
        <w:rPr>
          <w:rFonts w:ascii="仿宋_GB2312" w:eastAsia="仿宋_GB2312" w:hAnsi="仿宋_GB2312" w:hint="eastAsia"/>
          <w:bCs/>
          <w:sz w:val="30"/>
          <w:szCs w:val="30"/>
        </w:rPr>
        <w:t>并网运行的校园屋顶光伏电站、碳中和能源管控技术与应用实训室、智慧能源监控中心、智能微电网实训室、光伏电站运维实训室、光热系统仿真实训室、供配电技术实训室等</w:t>
      </w:r>
      <w:r w:rsidRPr="0068249F">
        <w:rPr>
          <w:rFonts w:ascii="Times New Roman" w:eastAsia="仿宋_GB2312" w:hAnsi="Times New Roman" w:cs="Times New Roman" w:hint="eastAsia"/>
          <w:bCs/>
          <w:sz w:val="30"/>
          <w:szCs w:val="30"/>
        </w:rPr>
        <w:t>12</w:t>
      </w:r>
      <w:r>
        <w:rPr>
          <w:rFonts w:ascii="仿宋_GB2312" w:eastAsia="仿宋_GB2312" w:hAnsi="仿宋_GB2312" w:hint="eastAsia"/>
          <w:bCs/>
          <w:sz w:val="30"/>
          <w:szCs w:val="30"/>
        </w:rPr>
        <w:t>个专业实验实训室，能够完全满足教学、科研、培训和技能鉴定的需要。</w:t>
      </w:r>
    </w:p>
    <w:p w14:paraId="019F6871"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校外实训基地：与兰州新区化工热电有限公司、甘能化兰州新区热电有限公司等</w:t>
      </w:r>
      <w:r w:rsidRPr="0068249F">
        <w:rPr>
          <w:rFonts w:ascii="Times New Roman" w:eastAsia="仿宋_GB2312" w:hAnsi="Times New Roman" w:cs="Times New Roman" w:hint="eastAsia"/>
          <w:bCs/>
          <w:sz w:val="30"/>
          <w:szCs w:val="30"/>
        </w:rPr>
        <w:t>5</w:t>
      </w:r>
      <w:r>
        <w:rPr>
          <w:rFonts w:ascii="仿宋_GB2312" w:eastAsia="仿宋_GB2312" w:hAnsi="仿宋_GB2312" w:hint="eastAsia"/>
          <w:bCs/>
          <w:sz w:val="30"/>
          <w:szCs w:val="30"/>
        </w:rPr>
        <w:t>家区域内知名能源电力企业建立了稳定的校企合作关系，共建校外实习实训基地，为学生的认识实习、</w:t>
      </w:r>
      <w:proofErr w:type="gramStart"/>
      <w:r>
        <w:rPr>
          <w:rFonts w:ascii="仿宋_GB2312" w:eastAsia="仿宋_GB2312" w:hAnsi="仿宋_GB2312" w:hint="eastAsia"/>
          <w:bCs/>
          <w:sz w:val="30"/>
          <w:szCs w:val="30"/>
        </w:rPr>
        <w:t>跟岗实习</w:t>
      </w:r>
      <w:proofErr w:type="gramEnd"/>
      <w:r>
        <w:rPr>
          <w:rFonts w:ascii="仿宋_GB2312" w:eastAsia="仿宋_GB2312" w:hAnsi="仿宋_GB2312" w:hint="eastAsia"/>
          <w:bCs/>
          <w:sz w:val="30"/>
          <w:szCs w:val="30"/>
        </w:rPr>
        <w:t>和顶岗实习提供了真实、优质的岗位和实践条件。</w:t>
      </w:r>
    </w:p>
    <w:p w14:paraId="5B7663B5"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生</w:t>
      </w:r>
      <w:proofErr w:type="gramStart"/>
      <w:r>
        <w:rPr>
          <w:rFonts w:ascii="仿宋_GB2312" w:eastAsia="仿宋_GB2312" w:hAnsi="仿宋_GB2312" w:hint="eastAsia"/>
          <w:bCs/>
          <w:sz w:val="30"/>
          <w:szCs w:val="30"/>
        </w:rPr>
        <w:t>均设备值</w:t>
      </w:r>
      <w:proofErr w:type="gramEnd"/>
      <w:r>
        <w:rPr>
          <w:rFonts w:ascii="仿宋_GB2312" w:eastAsia="仿宋_GB2312" w:hAnsi="仿宋_GB2312" w:hint="eastAsia"/>
          <w:bCs/>
          <w:sz w:val="30"/>
          <w:szCs w:val="30"/>
        </w:rPr>
        <w:t>：专业生</w:t>
      </w:r>
      <w:proofErr w:type="gramStart"/>
      <w:r>
        <w:rPr>
          <w:rFonts w:ascii="仿宋_GB2312" w:eastAsia="仿宋_GB2312" w:hAnsi="仿宋_GB2312" w:hint="eastAsia"/>
          <w:bCs/>
          <w:sz w:val="30"/>
          <w:szCs w:val="30"/>
        </w:rPr>
        <w:t>均教学</w:t>
      </w:r>
      <w:proofErr w:type="gramEnd"/>
      <w:r>
        <w:rPr>
          <w:rFonts w:ascii="仿宋_GB2312" w:eastAsia="仿宋_GB2312" w:hAnsi="仿宋_GB2312" w:hint="eastAsia"/>
          <w:bCs/>
          <w:sz w:val="30"/>
          <w:szCs w:val="30"/>
        </w:rPr>
        <w:t>科研仪器设备值达</w:t>
      </w:r>
      <w:r w:rsidRPr="0068249F">
        <w:rPr>
          <w:rFonts w:ascii="Times New Roman" w:eastAsia="仿宋_GB2312" w:hAnsi="Times New Roman" w:cs="Times New Roman" w:hint="eastAsia"/>
          <w:bCs/>
          <w:sz w:val="30"/>
          <w:szCs w:val="30"/>
        </w:rPr>
        <w:t>2</w:t>
      </w:r>
      <w:r>
        <w:rPr>
          <w:rFonts w:ascii="仿宋_GB2312" w:eastAsia="仿宋_GB2312" w:hAnsi="仿宋_GB2312" w:hint="eastAsia"/>
          <w:bCs/>
          <w:sz w:val="30"/>
          <w:szCs w:val="30"/>
        </w:rPr>
        <w:t>.</w:t>
      </w:r>
      <w:r w:rsidRPr="0068249F">
        <w:rPr>
          <w:rFonts w:ascii="Times New Roman" w:eastAsia="仿宋_GB2312" w:hAnsi="Times New Roman" w:cs="Times New Roman" w:hint="eastAsia"/>
          <w:bCs/>
          <w:sz w:val="30"/>
          <w:szCs w:val="30"/>
        </w:rPr>
        <w:t>9</w:t>
      </w:r>
      <w:r>
        <w:rPr>
          <w:rFonts w:ascii="仿宋_GB2312" w:eastAsia="仿宋_GB2312" w:hAnsi="仿宋_GB2312" w:hint="eastAsia"/>
          <w:bCs/>
          <w:sz w:val="30"/>
          <w:szCs w:val="30"/>
        </w:rPr>
        <w:t>万元，远超标准要求。</w:t>
      </w:r>
    </w:p>
    <w:p w14:paraId="67DBFA7C" w14:textId="77777777" w:rsidR="00DA7A12" w:rsidRDefault="00000000">
      <w:pPr>
        <w:pStyle w:val="13"/>
        <w:outlineLvl w:val="1"/>
        <w:rPr>
          <w:sz w:val="32"/>
          <w:szCs w:val="32"/>
        </w:rPr>
      </w:pPr>
      <w:bookmarkStart w:id="5" w:name="_Toc18650"/>
      <w:r>
        <w:rPr>
          <w:sz w:val="32"/>
          <w:szCs w:val="32"/>
        </w:rPr>
        <w:t>五、管理制度</w:t>
      </w:r>
      <w:bookmarkEnd w:id="5"/>
    </w:p>
    <w:p w14:paraId="7D254348" w14:textId="77777777" w:rsidR="00DA7A12" w:rsidRDefault="00000000">
      <w:pPr>
        <w:pStyle w:val="21"/>
        <w:numPr>
          <w:ilvl w:val="0"/>
          <w:numId w:val="5"/>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管理制度</w:t>
      </w:r>
    </w:p>
    <w:p w14:paraId="19931200" w14:textId="77777777" w:rsidR="00DA7A12" w:rsidRDefault="00000000">
      <w:pPr>
        <w:pStyle w:val="31"/>
        <w:numPr>
          <w:ilvl w:val="0"/>
          <w:numId w:val="6"/>
        </w:numPr>
        <w:ind w:firstLineChars="0"/>
        <w:rPr>
          <w:rFonts w:hint="eastAsia"/>
        </w:rPr>
      </w:pPr>
      <w:r>
        <w:t>校级层面——建章立制，强化顶层设计</w:t>
      </w:r>
    </w:p>
    <w:p w14:paraId="3A2652C2"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学校坚持制度治校、规范办学，构建了涵盖党群行政、纪检监察、人事财务、教学科研、学生管理、招生就业、资产后勤、图书档案等模块，形成了系统完备的人才培养制度支撑架构。</w:t>
      </w:r>
    </w:p>
    <w:p w14:paraId="6B419E43"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完善教学标准体系：持续健全教学质量监控与保障体系，全面规范人才培养方案制定、课程标准开发、教学评价实施、实习</w:t>
      </w:r>
      <w:r>
        <w:rPr>
          <w:rFonts w:ascii="仿宋_GB2312" w:eastAsia="仿宋_GB2312" w:hAnsi="仿宋_GB2312" w:hint="eastAsia"/>
          <w:bCs/>
          <w:sz w:val="30"/>
          <w:szCs w:val="30"/>
        </w:rPr>
        <w:lastRenderedPageBreak/>
        <w:t>实</w:t>
      </w:r>
      <w:proofErr w:type="gramStart"/>
      <w:r>
        <w:rPr>
          <w:rFonts w:ascii="仿宋_GB2312" w:eastAsia="仿宋_GB2312" w:hAnsi="仿宋_GB2312" w:hint="eastAsia"/>
          <w:bCs/>
          <w:sz w:val="30"/>
          <w:szCs w:val="30"/>
        </w:rPr>
        <w:t>训管理</w:t>
      </w:r>
      <w:proofErr w:type="gramEnd"/>
      <w:r>
        <w:rPr>
          <w:rFonts w:ascii="仿宋_GB2312" w:eastAsia="仿宋_GB2312" w:hAnsi="仿宋_GB2312" w:hint="eastAsia"/>
          <w:bCs/>
          <w:sz w:val="30"/>
          <w:szCs w:val="30"/>
        </w:rPr>
        <w:t>及毕业设计（论文）指导等环节，严把学位授予质量关。</w:t>
      </w:r>
    </w:p>
    <w:p w14:paraId="4F615C9C"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健全质量保障机制：建立专业人才培养质量闭环控制机制。通过统一教案撰写规范、优化教学方案、严选教材教辅、推广案例教学、强化课程辅导与实习指导，实现教学过程全链条监控。坚持改进结果评价，强化过程评价，</w:t>
      </w:r>
      <w:proofErr w:type="gramStart"/>
      <w:r>
        <w:rPr>
          <w:rFonts w:ascii="仿宋_GB2312" w:eastAsia="仿宋_GB2312" w:hAnsi="仿宋_GB2312" w:hint="eastAsia"/>
          <w:bCs/>
          <w:sz w:val="30"/>
          <w:szCs w:val="30"/>
        </w:rPr>
        <w:t>探索增值</w:t>
      </w:r>
      <w:proofErr w:type="gramEnd"/>
      <w:r>
        <w:rPr>
          <w:rFonts w:ascii="仿宋_GB2312" w:eastAsia="仿宋_GB2312" w:hAnsi="仿宋_GB2312" w:hint="eastAsia"/>
          <w:bCs/>
          <w:sz w:val="30"/>
          <w:szCs w:val="30"/>
        </w:rPr>
        <w:t>评价，定期对生源质量、在校学业水平及毕业生就业质量进行综合评价，确保培养目标有效达成。</w:t>
      </w:r>
    </w:p>
    <w:p w14:paraId="652AB8A4" w14:textId="77777777" w:rsidR="00DA7A12" w:rsidRDefault="00000000">
      <w:pPr>
        <w:pStyle w:val="31"/>
        <w:numPr>
          <w:ilvl w:val="0"/>
          <w:numId w:val="6"/>
        </w:numPr>
        <w:ind w:firstLineChars="0"/>
        <w:rPr>
          <w:rFonts w:hint="eastAsia"/>
        </w:rPr>
      </w:pPr>
      <w:r>
        <w:t>院级层面——精细管理，压实主体责任</w:t>
      </w:r>
    </w:p>
    <w:p w14:paraId="32FA61F7"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学院切实履行教学管理主体责任，以常态化诊断与改进为抓手，全面提升人才培养质量。</w:t>
      </w:r>
    </w:p>
    <w:p w14:paraId="4A8D1A45"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强化过程监控：建立</w:t>
      </w:r>
      <w:proofErr w:type="gramStart"/>
      <w:r>
        <w:rPr>
          <w:rFonts w:ascii="仿宋_GB2312" w:eastAsia="仿宋_GB2312" w:hAnsi="仿宋_GB2312" w:hint="eastAsia"/>
          <w:bCs/>
          <w:sz w:val="30"/>
          <w:szCs w:val="30"/>
        </w:rPr>
        <w:t>健全巡课听课</w:t>
      </w:r>
      <w:proofErr w:type="gramEnd"/>
      <w:r>
        <w:rPr>
          <w:rFonts w:ascii="仿宋_GB2312" w:eastAsia="仿宋_GB2312" w:hAnsi="仿宋_GB2312" w:hint="eastAsia"/>
          <w:bCs/>
          <w:sz w:val="30"/>
          <w:szCs w:val="30"/>
        </w:rPr>
        <w:t>、</w:t>
      </w:r>
      <w:proofErr w:type="gramStart"/>
      <w:r>
        <w:rPr>
          <w:rFonts w:ascii="仿宋_GB2312" w:eastAsia="仿宋_GB2312" w:hAnsi="仿宋_GB2312" w:hint="eastAsia"/>
          <w:bCs/>
          <w:sz w:val="30"/>
          <w:szCs w:val="30"/>
        </w:rPr>
        <w:t>评教评学及</w:t>
      </w:r>
      <w:proofErr w:type="gramEnd"/>
      <w:r>
        <w:rPr>
          <w:rFonts w:ascii="仿宋_GB2312" w:eastAsia="仿宋_GB2312" w:hAnsi="仿宋_GB2312" w:hint="eastAsia"/>
          <w:bCs/>
          <w:sz w:val="30"/>
          <w:szCs w:val="30"/>
        </w:rPr>
        <w:t>校企联动的实践教学督导制度。严明教学纪律，定期开展教学检查、教学竞赛及师德师风建设，确保教学秩序稳定运行。</w:t>
      </w:r>
    </w:p>
    <w:p w14:paraId="2235A53B"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深化教研教改：落实集体备课制度，全员参与人才培养方案修订、课程标准开发及教学资源建设。通过定期举办教学研讨会、公开课及示范课，运用教学评价数据分析结果反哺教学，形成“评价—反馈—改进”的良性循坏。</w:t>
      </w:r>
    </w:p>
    <w:p w14:paraId="7F108BF1" w14:textId="77777777" w:rsidR="00DA7A12" w:rsidRDefault="00000000">
      <w:pPr>
        <w:pStyle w:val="21"/>
        <w:numPr>
          <w:ilvl w:val="0"/>
          <w:numId w:val="5"/>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可持续发展的规划</w:t>
      </w:r>
    </w:p>
    <w:p w14:paraId="38D58FA4" w14:textId="77777777" w:rsidR="00DA7A12" w:rsidRDefault="00000000">
      <w:pPr>
        <w:spacing w:line="560" w:lineRule="exact"/>
        <w:ind w:firstLineChars="200" w:firstLine="600"/>
        <w:rPr>
          <w:rFonts w:ascii="仿宋_GB2312" w:eastAsia="仿宋_GB2312" w:hAnsi="仿宋_GB2312" w:hint="eastAsia"/>
          <w:bCs/>
          <w:sz w:val="30"/>
          <w:szCs w:val="30"/>
        </w:rPr>
      </w:pPr>
      <w:r w:rsidRPr="0068249F">
        <w:rPr>
          <w:rFonts w:ascii="Times New Roman" w:eastAsia="仿宋_GB2312" w:hAnsi="Times New Roman" w:cs="Times New Roman" w:hint="eastAsia"/>
          <w:bCs/>
          <w:sz w:val="30"/>
          <w:szCs w:val="30"/>
        </w:rPr>
        <w:t>1</w:t>
      </w:r>
      <w:r>
        <w:rPr>
          <w:rFonts w:ascii="仿宋_GB2312" w:eastAsia="仿宋_GB2312" w:hAnsi="仿宋_GB2312" w:hint="eastAsia"/>
          <w:bCs/>
          <w:sz w:val="30"/>
          <w:szCs w:val="30"/>
        </w:rPr>
        <w:t>.深化“光热协同”特色教学改革：持续优化课程体系，升级虚拟仿真实训平台，开发特色教材，巩固和扩大在“多能互补”领域的人才培养优势。</w:t>
      </w:r>
    </w:p>
    <w:p w14:paraId="73F4606A" w14:textId="77777777" w:rsidR="00DA7A12" w:rsidRDefault="00000000">
      <w:pPr>
        <w:spacing w:line="560" w:lineRule="exact"/>
        <w:ind w:firstLineChars="200" w:firstLine="600"/>
        <w:rPr>
          <w:rFonts w:ascii="仿宋_GB2312" w:eastAsia="仿宋_GB2312" w:hAnsi="仿宋_GB2312" w:hint="eastAsia"/>
          <w:bCs/>
          <w:sz w:val="30"/>
          <w:szCs w:val="30"/>
        </w:rPr>
      </w:pPr>
      <w:r w:rsidRPr="0068249F">
        <w:rPr>
          <w:rFonts w:ascii="Times New Roman" w:eastAsia="仿宋_GB2312" w:hAnsi="Times New Roman" w:cs="Times New Roman" w:hint="eastAsia"/>
          <w:bCs/>
          <w:sz w:val="30"/>
          <w:szCs w:val="30"/>
        </w:rPr>
        <w:t>2</w:t>
      </w:r>
      <w:r>
        <w:rPr>
          <w:rFonts w:ascii="仿宋_GB2312" w:eastAsia="仿宋_GB2312" w:hAnsi="仿宋_GB2312" w:hint="eastAsia"/>
          <w:bCs/>
          <w:sz w:val="30"/>
          <w:szCs w:val="30"/>
        </w:rPr>
        <w:t>.师资队伍建设规划：实施“双师”素质提升计划，引进和培养在光伏、光热、储能等领域的专业带头人和骨干教师；扩大企业兼职教师库，深化校</w:t>
      </w:r>
      <w:proofErr w:type="gramStart"/>
      <w:r>
        <w:rPr>
          <w:rFonts w:ascii="仿宋_GB2312" w:eastAsia="仿宋_GB2312" w:hAnsi="仿宋_GB2312" w:hint="eastAsia"/>
          <w:bCs/>
          <w:sz w:val="30"/>
          <w:szCs w:val="30"/>
        </w:rPr>
        <w:t>企人员</w:t>
      </w:r>
      <w:proofErr w:type="gramEnd"/>
      <w:r>
        <w:rPr>
          <w:rFonts w:ascii="仿宋_GB2312" w:eastAsia="仿宋_GB2312" w:hAnsi="仿宋_GB2312" w:hint="eastAsia"/>
          <w:bCs/>
          <w:sz w:val="30"/>
          <w:szCs w:val="30"/>
        </w:rPr>
        <w:t>双向流动。</w:t>
      </w:r>
    </w:p>
    <w:p w14:paraId="0123BA8C" w14:textId="77777777" w:rsidR="00DA7A12" w:rsidRDefault="00000000">
      <w:pPr>
        <w:spacing w:line="560" w:lineRule="exact"/>
        <w:ind w:firstLineChars="200" w:firstLine="600"/>
        <w:rPr>
          <w:rFonts w:ascii="仿宋_GB2312" w:eastAsia="仿宋_GB2312" w:hAnsi="仿宋_GB2312" w:hint="eastAsia"/>
          <w:bCs/>
          <w:sz w:val="30"/>
          <w:szCs w:val="30"/>
        </w:rPr>
      </w:pPr>
      <w:r w:rsidRPr="0068249F">
        <w:rPr>
          <w:rFonts w:ascii="Times New Roman" w:eastAsia="仿宋_GB2312" w:hAnsi="Times New Roman" w:cs="Times New Roman" w:hint="eastAsia"/>
          <w:bCs/>
          <w:sz w:val="30"/>
          <w:szCs w:val="30"/>
        </w:rPr>
        <w:lastRenderedPageBreak/>
        <w:t>3</w:t>
      </w:r>
      <w:r>
        <w:rPr>
          <w:rFonts w:ascii="仿宋_GB2312" w:eastAsia="仿宋_GB2312" w:hAnsi="仿宋_GB2312" w:hint="eastAsia"/>
          <w:bCs/>
          <w:sz w:val="30"/>
          <w:szCs w:val="30"/>
        </w:rPr>
        <w:t>.实</w:t>
      </w:r>
      <w:proofErr w:type="gramStart"/>
      <w:r>
        <w:rPr>
          <w:rFonts w:ascii="仿宋_GB2312" w:eastAsia="仿宋_GB2312" w:hAnsi="仿宋_GB2312" w:hint="eastAsia"/>
          <w:bCs/>
          <w:sz w:val="30"/>
          <w:szCs w:val="30"/>
        </w:rPr>
        <w:t>训条件</w:t>
      </w:r>
      <w:proofErr w:type="gramEnd"/>
      <w:r>
        <w:rPr>
          <w:rFonts w:ascii="仿宋_GB2312" w:eastAsia="仿宋_GB2312" w:hAnsi="仿宋_GB2312" w:hint="eastAsia"/>
          <w:bCs/>
          <w:sz w:val="30"/>
          <w:szCs w:val="30"/>
        </w:rPr>
        <w:t>建设规划：规划建设更高参数的光热发电教学实验系统、储能系统集成实训平台等，保持实训装备的技术先进性。</w:t>
      </w:r>
    </w:p>
    <w:p w14:paraId="52B84009" w14:textId="77777777" w:rsidR="00DA7A12" w:rsidRDefault="00000000">
      <w:pPr>
        <w:spacing w:line="560" w:lineRule="exact"/>
        <w:ind w:firstLineChars="200" w:firstLine="600"/>
        <w:rPr>
          <w:rFonts w:ascii="仿宋_GB2312" w:eastAsia="仿宋_GB2312" w:hAnsi="仿宋_GB2312" w:hint="eastAsia"/>
          <w:bCs/>
          <w:sz w:val="30"/>
          <w:szCs w:val="30"/>
        </w:rPr>
      </w:pPr>
      <w:r w:rsidRPr="0068249F">
        <w:rPr>
          <w:rFonts w:ascii="Times New Roman" w:eastAsia="仿宋_GB2312" w:hAnsi="Times New Roman" w:cs="Times New Roman" w:hint="eastAsia"/>
          <w:bCs/>
          <w:sz w:val="30"/>
          <w:szCs w:val="30"/>
        </w:rPr>
        <w:t>4</w:t>
      </w:r>
      <w:r>
        <w:rPr>
          <w:rFonts w:ascii="仿宋_GB2312" w:eastAsia="仿宋_GB2312" w:hAnsi="仿宋_GB2312" w:hint="eastAsia"/>
          <w:bCs/>
          <w:sz w:val="30"/>
          <w:szCs w:val="30"/>
        </w:rPr>
        <w:t>.技术研发与社会服务：依托专业团队，面向甘肃及西北地区新能源企业，开展技术咨询、员工培训、技术革新与应用研发等服务，提升专业社会贡献度。</w:t>
      </w:r>
    </w:p>
    <w:p w14:paraId="017D7570" w14:textId="77777777" w:rsidR="00DA7A12" w:rsidRDefault="00000000">
      <w:pPr>
        <w:spacing w:line="560" w:lineRule="exact"/>
        <w:ind w:firstLineChars="200" w:firstLine="600"/>
        <w:rPr>
          <w:rFonts w:ascii="仿宋_GB2312" w:eastAsia="仿宋_GB2312" w:hAnsi="仿宋_GB2312" w:hint="eastAsia"/>
          <w:bCs/>
          <w:sz w:val="30"/>
          <w:szCs w:val="30"/>
        </w:rPr>
      </w:pPr>
      <w:r w:rsidRPr="0068249F">
        <w:rPr>
          <w:rFonts w:ascii="Times New Roman" w:eastAsia="仿宋_GB2312" w:hAnsi="Times New Roman" w:cs="Times New Roman" w:hint="eastAsia"/>
          <w:bCs/>
          <w:sz w:val="30"/>
          <w:szCs w:val="30"/>
        </w:rPr>
        <w:t>5</w:t>
      </w:r>
      <w:r>
        <w:rPr>
          <w:rFonts w:ascii="仿宋_GB2312" w:eastAsia="仿宋_GB2312" w:hAnsi="仿宋_GB2312" w:hint="eastAsia"/>
          <w:bCs/>
          <w:sz w:val="30"/>
          <w:szCs w:val="30"/>
        </w:rPr>
        <w:t>.深化产教融合：与行业龙头企业共建产业学院、订单班，共同开展技术攻关，将真实生产项目和案例引入教学。</w:t>
      </w:r>
    </w:p>
    <w:p w14:paraId="450EF24C" w14:textId="77777777" w:rsidR="00DA7A12" w:rsidRDefault="00000000">
      <w:pPr>
        <w:spacing w:line="560" w:lineRule="exact"/>
        <w:ind w:firstLineChars="200" w:firstLine="600"/>
        <w:rPr>
          <w:rFonts w:ascii="仿宋_GB2312" w:eastAsia="仿宋_GB2312" w:hAnsi="仿宋_GB2312" w:hint="eastAsia"/>
          <w:bCs/>
          <w:sz w:val="30"/>
          <w:szCs w:val="30"/>
        </w:rPr>
      </w:pPr>
      <w:r w:rsidRPr="0068249F">
        <w:rPr>
          <w:rFonts w:ascii="Times New Roman" w:eastAsia="仿宋_GB2312" w:hAnsi="Times New Roman" w:cs="Times New Roman" w:hint="eastAsia"/>
          <w:bCs/>
          <w:sz w:val="30"/>
          <w:szCs w:val="30"/>
        </w:rPr>
        <w:t>6</w:t>
      </w:r>
      <w:r>
        <w:rPr>
          <w:rFonts w:ascii="仿宋_GB2312" w:eastAsia="仿宋_GB2312" w:hAnsi="仿宋_GB2312" w:hint="eastAsia"/>
          <w:bCs/>
          <w:sz w:val="30"/>
          <w:szCs w:val="30"/>
        </w:rPr>
        <w:t>.加强交流与合作：与国内外开设同类专业的优秀院校开展交流，学习先进经验；鼓励师生参加行业学术会议、技能竞赛，跟踪技术发展前沿。</w:t>
      </w:r>
    </w:p>
    <w:p w14:paraId="697238AE" w14:textId="77777777" w:rsidR="00DA7A12" w:rsidRDefault="00000000">
      <w:pPr>
        <w:pStyle w:val="13"/>
        <w:outlineLvl w:val="1"/>
        <w:rPr>
          <w:sz w:val="32"/>
          <w:szCs w:val="32"/>
        </w:rPr>
      </w:pPr>
      <w:bookmarkStart w:id="6" w:name="_Toc15977"/>
      <w:r>
        <w:rPr>
          <w:sz w:val="32"/>
          <w:szCs w:val="32"/>
        </w:rPr>
        <w:t>六、质量保障</w:t>
      </w:r>
      <w:bookmarkEnd w:id="6"/>
    </w:p>
    <w:p w14:paraId="5DF5662B" w14:textId="77777777" w:rsidR="00DA7A12" w:rsidRDefault="00000000">
      <w:pPr>
        <w:pStyle w:val="21"/>
        <w:numPr>
          <w:ilvl w:val="0"/>
          <w:numId w:val="7"/>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构建科学化、标准化的质量保证体系</w:t>
      </w:r>
    </w:p>
    <w:p w14:paraId="2A5D5C3C" w14:textId="77777777" w:rsidR="00DA7A12" w:rsidRDefault="00000000">
      <w:pPr>
        <w:pStyle w:val="31"/>
        <w:numPr>
          <w:ilvl w:val="0"/>
          <w:numId w:val="8"/>
        </w:numPr>
        <w:ind w:firstLineChars="0"/>
        <w:rPr>
          <w:rFonts w:hint="eastAsia"/>
          <w:sz w:val="30"/>
          <w:szCs w:val="30"/>
        </w:rPr>
      </w:pPr>
      <w:r>
        <w:rPr>
          <w:sz w:val="30"/>
          <w:szCs w:val="30"/>
        </w:rPr>
        <w:t>导入</w:t>
      </w:r>
      <w:r w:rsidRPr="0068249F">
        <w:rPr>
          <w:rFonts w:ascii="Times New Roman" w:hAnsi="Times New Roman" w:cs="Times New Roman"/>
          <w:sz w:val="30"/>
          <w:szCs w:val="30"/>
        </w:rPr>
        <w:t>ISO9001</w:t>
      </w:r>
      <w:r>
        <w:rPr>
          <w:sz w:val="30"/>
          <w:szCs w:val="30"/>
        </w:rPr>
        <w:t>国际标准，夯实质量管理基石</w:t>
      </w:r>
    </w:p>
    <w:p w14:paraId="5AA830C1"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全面推进</w:t>
      </w:r>
      <w:r w:rsidRPr="0068249F">
        <w:rPr>
          <w:rFonts w:ascii="Times New Roman" w:eastAsia="仿宋_GB2312" w:hAnsi="Times New Roman" w:cs="Times New Roman" w:hint="eastAsia"/>
          <w:bCs/>
          <w:sz w:val="30"/>
          <w:szCs w:val="30"/>
        </w:rPr>
        <w:t>ISO9001</w:t>
      </w:r>
      <w:r>
        <w:rPr>
          <w:rFonts w:ascii="仿宋_GB2312" w:eastAsia="仿宋_GB2312" w:hAnsi="仿宋_GB2312" w:hint="eastAsia"/>
          <w:bCs/>
          <w:sz w:val="30"/>
          <w:szCs w:val="30"/>
        </w:rPr>
        <w:t>质量管理体系认证工作，持续优化质量管理体系运行机制。深入贯彻“过程方法”与“</w:t>
      </w:r>
      <w:r w:rsidRPr="0068249F">
        <w:rPr>
          <w:rFonts w:ascii="Times New Roman" w:eastAsia="仿宋_GB2312" w:hAnsi="Times New Roman" w:cs="Times New Roman" w:hint="eastAsia"/>
          <w:bCs/>
          <w:sz w:val="30"/>
          <w:szCs w:val="30"/>
        </w:rPr>
        <w:t>PDCA</w:t>
      </w:r>
      <w:r>
        <w:rPr>
          <w:rFonts w:ascii="仿宋_GB2312" w:eastAsia="仿宋_GB2312" w:hAnsi="仿宋_GB2312" w:hint="eastAsia"/>
          <w:bCs/>
          <w:sz w:val="30"/>
          <w:szCs w:val="30"/>
        </w:rPr>
        <w:t>循环”理念，强化教育教学全过程的风险识别、防控与管理。通过动态修订《质量管理手册》、程序文件及作业指导书，实现管理工作标准化、流程化，严格依据国际标准筑牢内部质量防线，提升学校治理能力和治理水平。</w:t>
      </w:r>
    </w:p>
    <w:p w14:paraId="0163367B" w14:textId="77777777" w:rsidR="00DA7A12" w:rsidRDefault="00000000">
      <w:pPr>
        <w:pStyle w:val="31"/>
        <w:ind w:firstLine="600"/>
        <w:rPr>
          <w:rFonts w:cs="仿宋_GB2312" w:hint="eastAsia"/>
          <w:sz w:val="30"/>
          <w:szCs w:val="30"/>
        </w:rPr>
      </w:pPr>
      <w:r w:rsidRPr="0068249F">
        <w:rPr>
          <w:rFonts w:ascii="Times New Roman" w:hAnsi="Times New Roman" w:cs="Times New Roman" w:hint="eastAsia"/>
          <w:sz w:val="30"/>
          <w:szCs w:val="30"/>
        </w:rPr>
        <w:t>2</w:t>
      </w:r>
      <w:r>
        <w:rPr>
          <w:rFonts w:cs="仿宋_GB2312" w:hint="eastAsia"/>
          <w:sz w:val="30"/>
          <w:szCs w:val="30"/>
        </w:rPr>
        <w:t>.建立常态</w:t>
      </w:r>
      <w:proofErr w:type="gramStart"/>
      <w:r>
        <w:rPr>
          <w:rFonts w:cs="仿宋_GB2312" w:hint="eastAsia"/>
          <w:sz w:val="30"/>
          <w:szCs w:val="30"/>
        </w:rPr>
        <w:t>化诊改机制</w:t>
      </w:r>
      <w:proofErr w:type="gramEnd"/>
      <w:r>
        <w:rPr>
          <w:rFonts w:cs="仿宋_GB2312" w:hint="eastAsia"/>
          <w:sz w:val="30"/>
          <w:szCs w:val="30"/>
        </w:rPr>
        <w:t>，</w:t>
      </w:r>
      <w:proofErr w:type="gramStart"/>
      <w:r>
        <w:rPr>
          <w:rFonts w:cs="仿宋_GB2312" w:hint="eastAsia"/>
          <w:sz w:val="30"/>
          <w:szCs w:val="30"/>
        </w:rPr>
        <w:t>完善内</w:t>
      </w:r>
      <w:proofErr w:type="gramEnd"/>
      <w:r>
        <w:rPr>
          <w:rFonts w:cs="仿宋_GB2312" w:hint="eastAsia"/>
          <w:sz w:val="30"/>
          <w:szCs w:val="30"/>
        </w:rPr>
        <w:t>生质量保证体系</w:t>
      </w:r>
    </w:p>
    <w:p w14:paraId="562DC268"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强化数据驱动决策：依托“高等职业院校人才培养工作状态数据采集与管理平台”，深入开展数据挖掘与分析，科学</w:t>
      </w:r>
      <w:proofErr w:type="gramStart"/>
      <w:r>
        <w:rPr>
          <w:rFonts w:ascii="仿宋_GB2312" w:eastAsia="仿宋_GB2312" w:hAnsi="仿宋_GB2312" w:hint="eastAsia"/>
          <w:bCs/>
          <w:sz w:val="30"/>
          <w:szCs w:val="30"/>
        </w:rPr>
        <w:t>研判专业</w:t>
      </w:r>
      <w:proofErr w:type="gramEnd"/>
      <w:r>
        <w:rPr>
          <w:rFonts w:ascii="仿宋_GB2312" w:eastAsia="仿宋_GB2312" w:hAnsi="仿宋_GB2312" w:hint="eastAsia"/>
          <w:bCs/>
          <w:sz w:val="30"/>
          <w:szCs w:val="30"/>
        </w:rPr>
        <w:t>结构与区域产业结构的匹配度，建立专业动态调整与预警退出机制，加速传统专业升级与新兴专业布局。</w:t>
      </w:r>
    </w:p>
    <w:p w14:paraId="3487F2B0"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lastRenderedPageBreak/>
        <w:t>构建自主保证机制：建立健全常态化、可持续的学校自主保证人才培养质量机制，强化对运行过程的全周期监管，确保教学质量螺旋式上升。</w:t>
      </w:r>
    </w:p>
    <w:p w14:paraId="5E76263F" w14:textId="77777777" w:rsidR="00DA7A12" w:rsidRDefault="00000000">
      <w:pPr>
        <w:spacing w:line="560" w:lineRule="exact"/>
        <w:ind w:firstLineChars="200" w:firstLine="600"/>
        <w:rPr>
          <w:rFonts w:ascii="仿宋_GB2312" w:eastAsia="仿宋_GB2312" w:hAnsi="仿宋_GB2312" w:hint="eastAsia"/>
          <w:bCs/>
          <w:sz w:val="30"/>
          <w:szCs w:val="30"/>
        </w:rPr>
      </w:pPr>
      <w:r>
        <w:rPr>
          <w:rFonts w:ascii="仿宋_GB2312" w:eastAsia="仿宋_GB2312" w:hAnsi="仿宋_GB2312" w:hint="eastAsia"/>
          <w:bCs/>
          <w:sz w:val="30"/>
          <w:szCs w:val="30"/>
        </w:rPr>
        <w:t>引入第三方评价：充分发挥行业协会及行指委的专业引领作用，引入行业企业用人标准，积极开展第三方诊断与评估，确保人才培养规格对接产业需求。</w:t>
      </w:r>
    </w:p>
    <w:p w14:paraId="75A636B2" w14:textId="77777777" w:rsidR="00DA7A12" w:rsidRDefault="00000000">
      <w:pPr>
        <w:pStyle w:val="21"/>
        <w:numPr>
          <w:ilvl w:val="0"/>
          <w:numId w:val="7"/>
        </w:numPr>
        <w:ind w:firstLineChars="0"/>
        <w:rPr>
          <w:rFonts w:ascii="方正楷体_GB2312" w:eastAsia="方正楷体_GB2312" w:hAnsi="方正楷体_GB2312" w:cs="方正楷体_GB2312"/>
          <w:sz w:val="30"/>
          <w:szCs w:val="30"/>
        </w:rPr>
      </w:pPr>
      <w:r>
        <w:rPr>
          <w:rFonts w:ascii="方正楷体_GB2312" w:eastAsia="方正楷体_GB2312" w:hAnsi="方正楷体_GB2312" w:cs="方正楷体_GB2312"/>
          <w:sz w:val="30"/>
          <w:szCs w:val="30"/>
        </w:rPr>
        <w:t>健全多元化、公开化的社会监督机制</w:t>
      </w:r>
    </w:p>
    <w:p w14:paraId="048D3584" w14:textId="77777777" w:rsidR="00DA7A12" w:rsidRDefault="00000000">
      <w:pPr>
        <w:spacing w:line="560" w:lineRule="exact"/>
        <w:ind w:firstLineChars="200" w:firstLine="600"/>
        <w:rPr>
          <w:rFonts w:hint="eastAsia"/>
        </w:rPr>
      </w:pPr>
      <w:r>
        <w:rPr>
          <w:rFonts w:ascii="仿宋_GB2312" w:eastAsia="仿宋_GB2312" w:hAnsi="仿宋_GB2312" w:hint="eastAsia"/>
          <w:bCs/>
          <w:sz w:val="30"/>
          <w:szCs w:val="30"/>
        </w:rPr>
        <w:t>全面实施质量年度报告制度，主动接受社会监督。持续完善学校、二级学院（专业群）及职能部门（如就业、师资建设等）三级质量年度报告发布体系。通过多维度、分层次的报告发布，向社会公开质量承诺，自觉接受来自社会舆论、行业企业、学生及家长的全方位监督。坚持</w:t>
      </w:r>
      <w:proofErr w:type="gramStart"/>
      <w:r>
        <w:rPr>
          <w:rFonts w:ascii="仿宋_GB2312" w:eastAsia="仿宋_GB2312" w:hAnsi="仿宋_GB2312" w:hint="eastAsia"/>
          <w:bCs/>
          <w:sz w:val="30"/>
          <w:szCs w:val="30"/>
        </w:rPr>
        <w:t>以评促建</w:t>
      </w:r>
      <w:proofErr w:type="gramEnd"/>
      <w:r>
        <w:rPr>
          <w:rFonts w:ascii="仿宋_GB2312" w:eastAsia="仿宋_GB2312" w:hAnsi="仿宋_GB2312" w:hint="eastAsia"/>
          <w:bCs/>
          <w:sz w:val="30"/>
          <w:szCs w:val="30"/>
        </w:rPr>
        <w:t>，不断提升学生满意度与社会认可度，塑造学校优质教育品牌形象。</w:t>
      </w:r>
    </w:p>
    <w:p w14:paraId="384ABD54" w14:textId="77777777" w:rsidR="00DA7A12" w:rsidRDefault="00DA7A12">
      <w:pPr>
        <w:rPr>
          <w:rFonts w:hint="eastAsia"/>
        </w:rPr>
      </w:pPr>
    </w:p>
    <w:sectPr w:rsidR="00DA7A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1BB95" w14:textId="77777777" w:rsidR="006213AA" w:rsidRDefault="006213AA">
      <w:pPr>
        <w:rPr>
          <w:rFonts w:hint="eastAsia"/>
        </w:rPr>
      </w:pPr>
      <w:r>
        <w:separator/>
      </w:r>
    </w:p>
  </w:endnote>
  <w:endnote w:type="continuationSeparator" w:id="0">
    <w:p w14:paraId="639044E7" w14:textId="77777777" w:rsidR="006213AA" w:rsidRDefault="006213A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1" w:subsetted="1" w:fontKey="{586D1BFF-F4CC-40D6-8DBF-1E05183B14A8}"/>
  </w:font>
  <w:font w:name="仿宋_GB2312">
    <w:panose1 w:val="02010609030101010101"/>
    <w:charset w:val="86"/>
    <w:family w:val="modern"/>
    <w:pitch w:val="fixed"/>
    <w:sig w:usb0="00000001" w:usb1="080E0000" w:usb2="00000010" w:usb3="00000000" w:csb0="00040000" w:csb1="00000000"/>
    <w:embedRegular r:id="rId2" w:subsetted="1" w:fontKey="{A093FEF4-3616-47A5-96B7-61AC64D10693}"/>
    <w:embedBold r:id="rId3" w:subsetted="1" w:fontKey="{45CBEE8C-DAFD-443E-9BCB-41DA82E54B8B}"/>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_GB2312">
    <w:charset w:val="86"/>
    <w:family w:val="auto"/>
    <w:pitch w:val="default"/>
    <w:sig w:usb0="A00002BF" w:usb1="184F6CFA" w:usb2="00000012" w:usb3="00000000" w:csb0="00040001" w:csb1="00000000"/>
    <w:embedRegular r:id="rId4" w:subsetted="1" w:fontKey="{5D047D22-5F57-4B2E-9E6B-FADC98FA8BD1}"/>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EE595" w14:textId="77777777" w:rsidR="006213AA" w:rsidRDefault="006213AA">
      <w:pPr>
        <w:rPr>
          <w:rFonts w:hint="eastAsia"/>
        </w:rPr>
      </w:pPr>
      <w:r>
        <w:separator/>
      </w:r>
    </w:p>
  </w:footnote>
  <w:footnote w:type="continuationSeparator" w:id="0">
    <w:p w14:paraId="3ECF45EC" w14:textId="77777777" w:rsidR="006213AA" w:rsidRDefault="006213A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AF6C6D"/>
    <w:multiLevelType w:val="singleLevel"/>
    <w:tmpl w:val="80AF6C6D"/>
    <w:lvl w:ilvl="0">
      <w:start w:val="1"/>
      <w:numFmt w:val="decimal"/>
      <w:suff w:val="nothing"/>
      <w:lvlText w:val="%1."/>
      <w:lvlJc w:val="left"/>
      <w:pPr>
        <w:ind w:left="1265" w:hanging="641"/>
      </w:pPr>
      <w:rPr>
        <w:rFonts w:hint="default"/>
      </w:rPr>
    </w:lvl>
  </w:abstractNum>
  <w:abstractNum w:abstractNumId="1" w15:restartNumberingAfterBreak="0">
    <w:nsid w:val="92ABA09D"/>
    <w:multiLevelType w:val="singleLevel"/>
    <w:tmpl w:val="92ABA09D"/>
    <w:lvl w:ilvl="0">
      <w:start w:val="1"/>
      <w:numFmt w:val="chineseCounting"/>
      <w:suff w:val="nothing"/>
      <w:lvlText w:val="（%1）"/>
      <w:lvlJc w:val="left"/>
      <w:pPr>
        <w:ind w:left="0" w:firstLine="624"/>
      </w:pPr>
      <w:rPr>
        <w:rFonts w:hint="eastAsia"/>
      </w:rPr>
    </w:lvl>
  </w:abstractNum>
  <w:abstractNum w:abstractNumId="2" w15:restartNumberingAfterBreak="0">
    <w:nsid w:val="96AF6C96"/>
    <w:multiLevelType w:val="singleLevel"/>
    <w:tmpl w:val="96AF6C96"/>
    <w:lvl w:ilvl="0">
      <w:start w:val="1"/>
      <w:numFmt w:val="decimal"/>
      <w:suff w:val="nothing"/>
      <w:lvlText w:val="%1."/>
      <w:lvlJc w:val="left"/>
      <w:pPr>
        <w:ind w:left="1265" w:hanging="641"/>
      </w:pPr>
      <w:rPr>
        <w:rFonts w:hint="default"/>
      </w:rPr>
    </w:lvl>
  </w:abstractNum>
  <w:abstractNum w:abstractNumId="3" w15:restartNumberingAfterBreak="0">
    <w:nsid w:val="CC2E5E22"/>
    <w:multiLevelType w:val="singleLevel"/>
    <w:tmpl w:val="CC2E5E22"/>
    <w:lvl w:ilvl="0">
      <w:start w:val="1"/>
      <w:numFmt w:val="decimal"/>
      <w:suff w:val="nothing"/>
      <w:lvlText w:val="%1."/>
      <w:lvlJc w:val="left"/>
      <w:pPr>
        <w:ind w:left="1481" w:hanging="857"/>
      </w:pPr>
      <w:rPr>
        <w:rFonts w:hint="default"/>
      </w:rPr>
    </w:lvl>
  </w:abstractNum>
  <w:abstractNum w:abstractNumId="4" w15:restartNumberingAfterBreak="0">
    <w:nsid w:val="143FD3AD"/>
    <w:multiLevelType w:val="singleLevel"/>
    <w:tmpl w:val="143FD3AD"/>
    <w:lvl w:ilvl="0">
      <w:start w:val="1"/>
      <w:numFmt w:val="chineseCounting"/>
      <w:suff w:val="nothing"/>
      <w:lvlText w:val="（%1）"/>
      <w:lvlJc w:val="left"/>
      <w:pPr>
        <w:ind w:left="0" w:firstLine="624"/>
      </w:pPr>
      <w:rPr>
        <w:rFonts w:hint="eastAsia"/>
      </w:rPr>
    </w:lvl>
  </w:abstractNum>
  <w:abstractNum w:abstractNumId="5" w15:restartNumberingAfterBreak="0">
    <w:nsid w:val="2A1F30A3"/>
    <w:multiLevelType w:val="singleLevel"/>
    <w:tmpl w:val="2A1F30A3"/>
    <w:lvl w:ilvl="0">
      <w:start w:val="1"/>
      <w:numFmt w:val="chineseCounting"/>
      <w:suff w:val="nothing"/>
      <w:lvlText w:val="（%1）"/>
      <w:lvlJc w:val="left"/>
      <w:pPr>
        <w:ind w:left="0" w:firstLine="624"/>
      </w:pPr>
      <w:rPr>
        <w:rFonts w:hint="eastAsia"/>
      </w:rPr>
    </w:lvl>
  </w:abstractNum>
  <w:abstractNum w:abstractNumId="6" w15:restartNumberingAfterBreak="0">
    <w:nsid w:val="5904EE46"/>
    <w:multiLevelType w:val="singleLevel"/>
    <w:tmpl w:val="5904EE46"/>
    <w:lvl w:ilvl="0">
      <w:start w:val="1"/>
      <w:numFmt w:val="chineseCounting"/>
      <w:suff w:val="nothing"/>
      <w:lvlText w:val="（%1）"/>
      <w:lvlJc w:val="left"/>
      <w:pPr>
        <w:ind w:left="0" w:firstLine="624"/>
      </w:pPr>
      <w:rPr>
        <w:rFonts w:hint="eastAsia"/>
      </w:rPr>
    </w:lvl>
  </w:abstractNum>
  <w:abstractNum w:abstractNumId="7" w15:restartNumberingAfterBreak="0">
    <w:nsid w:val="616D57B0"/>
    <w:multiLevelType w:val="singleLevel"/>
    <w:tmpl w:val="616D57B0"/>
    <w:lvl w:ilvl="0">
      <w:start w:val="1"/>
      <w:numFmt w:val="decimal"/>
      <w:suff w:val="nothing"/>
      <w:lvlText w:val="%1."/>
      <w:lvlJc w:val="left"/>
      <w:pPr>
        <w:ind w:left="845" w:hanging="221"/>
      </w:pPr>
      <w:rPr>
        <w:rFonts w:hint="default"/>
      </w:rPr>
    </w:lvl>
  </w:abstractNum>
  <w:num w:numId="1" w16cid:durableId="1142161958">
    <w:abstractNumId w:val="5"/>
  </w:num>
  <w:num w:numId="2" w16cid:durableId="2002344924">
    <w:abstractNumId w:val="3"/>
  </w:num>
  <w:num w:numId="3" w16cid:durableId="1500270873">
    <w:abstractNumId w:val="0"/>
  </w:num>
  <w:num w:numId="4" w16cid:durableId="2016567081">
    <w:abstractNumId w:val="1"/>
  </w:num>
  <w:num w:numId="5" w16cid:durableId="683937942">
    <w:abstractNumId w:val="4"/>
  </w:num>
  <w:num w:numId="6" w16cid:durableId="232278570">
    <w:abstractNumId w:val="2"/>
  </w:num>
  <w:num w:numId="7" w16cid:durableId="808321126">
    <w:abstractNumId w:val="6"/>
  </w:num>
  <w:num w:numId="8" w16cid:durableId="10723132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embedTrueType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837"/>
    <w:rsid w:val="002D5837"/>
    <w:rsid w:val="006213AA"/>
    <w:rsid w:val="0068249F"/>
    <w:rsid w:val="00A50690"/>
    <w:rsid w:val="00BD07A2"/>
    <w:rsid w:val="00CF7872"/>
    <w:rsid w:val="00DA7A12"/>
    <w:rsid w:val="00EB78FE"/>
    <w:rsid w:val="3F7C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E7FE8"/>
  <w15:docId w15:val="{CF6FCB78-CA68-4A5F-9D1A-74C9A10FA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a7">
    <w:name w:val="Subtitle"/>
    <w:basedOn w:val="a"/>
    <w:next w:val="a"/>
    <w:link w:val="a8"/>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b">
    <w:name w:val="Strong"/>
    <w:basedOn w:val="a0"/>
    <w:qFormat/>
    <w:rPr>
      <w:b/>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jc w:val="center"/>
    </w:pPr>
    <w:rPr>
      <w:i/>
      <w:iCs/>
      <w:color w:val="404040" w:themeColor="text1" w:themeTint="BF"/>
    </w:rPr>
  </w:style>
  <w:style w:type="character" w:customStyle="1" w:styleId="ad">
    <w:name w:val="引用 字符"/>
    <w:basedOn w:val="a0"/>
    <w:link w:val="ac"/>
    <w:uiPriority w:val="29"/>
    <w:qFormat/>
    <w:rPr>
      <w:i/>
      <w:iCs/>
      <w:color w:val="404040" w:themeColor="text1" w:themeTint="BF"/>
    </w:rPr>
  </w:style>
  <w:style w:type="paragraph" w:styleId="ae">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
    <w:name w:val="Intense Quote"/>
    <w:basedOn w:val="a"/>
    <w:next w:val="a"/>
    <w:link w:val="af0"/>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明显引用 字符"/>
    <w:basedOn w:val="a0"/>
    <w:link w:val="af"/>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13">
    <w:name w:val="1级"/>
    <w:basedOn w:val="a"/>
    <w:qFormat/>
    <w:pPr>
      <w:ind w:firstLine="420"/>
    </w:pPr>
    <w:rPr>
      <w:rFonts w:ascii="黑体" w:eastAsia="黑体" w:hAnsi="黑体" w:hint="eastAsia"/>
      <w:bCs/>
      <w:sz w:val="28"/>
      <w:szCs w:val="36"/>
    </w:rPr>
  </w:style>
  <w:style w:type="paragraph" w:customStyle="1" w:styleId="21">
    <w:name w:val="2级"/>
    <w:basedOn w:val="a"/>
    <w:qFormat/>
    <w:pPr>
      <w:ind w:firstLineChars="200" w:firstLine="560"/>
    </w:pPr>
    <w:rPr>
      <w:rFonts w:ascii="仿宋_GB2312" w:eastAsia="仿宋_GB2312" w:hAnsi="仿宋_GB2312" w:hint="eastAsia"/>
      <w:bCs/>
      <w:sz w:val="28"/>
      <w:szCs w:val="36"/>
    </w:rPr>
  </w:style>
  <w:style w:type="paragraph" w:customStyle="1" w:styleId="31">
    <w:name w:val="3级"/>
    <w:basedOn w:val="a"/>
    <w:link w:val="3Char"/>
    <w:qFormat/>
    <w:pPr>
      <w:ind w:firstLineChars="200" w:firstLine="560"/>
    </w:pPr>
    <w:rPr>
      <w:rFonts w:ascii="仿宋_GB2312" w:eastAsia="仿宋_GB2312" w:hAnsi="仿宋_GB2312"/>
      <w:bCs/>
      <w:sz w:val="28"/>
      <w:szCs w:val="36"/>
    </w:rPr>
  </w:style>
  <w:style w:type="paragraph" w:customStyle="1" w:styleId="af1">
    <w:name w:val="大段"/>
    <w:basedOn w:val="a"/>
    <w:pPr>
      <w:jc w:val="center"/>
    </w:pPr>
    <w:rPr>
      <w:rFonts w:ascii="方正小标宋简体" w:eastAsia="方正小标宋简体" w:hAnsi="方正小标宋简体" w:hint="eastAsia"/>
      <w:bCs/>
      <w:sz w:val="32"/>
      <w:szCs w:val="40"/>
    </w:rPr>
  </w:style>
  <w:style w:type="character" w:customStyle="1" w:styleId="3Char">
    <w:name w:val="3级 Char"/>
    <w:link w:val="31"/>
    <w:qFormat/>
    <w:rPr>
      <w:rFonts w:ascii="仿宋_GB2312" w:eastAsia="仿宋_GB2312" w:hAnsi="仿宋_GB2312"/>
      <w:bCs/>
      <w:sz w:val="28"/>
      <w:szCs w:val="36"/>
      <w14:ligatures w14:val="none"/>
    </w:rPr>
  </w:style>
  <w:style w:type="paragraph" w:customStyle="1" w:styleId="14">
    <w:name w:val="正文1"/>
    <w:basedOn w:val="a"/>
    <w:qFormat/>
    <w:pPr>
      <w:ind w:firstLineChars="200" w:firstLine="560"/>
    </w:pPr>
    <w:rPr>
      <w:rFonts w:ascii="仿宋_GB2312" w:eastAsia="仿宋_GB2312" w:hAnsi="仿宋_GB2312" w:hint="eastAsia"/>
      <w:bCs/>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2617</Words>
  <Characters>2670</Characters>
  <Application>Microsoft Office Word</Application>
  <DocSecurity>0</DocSecurity>
  <Lines>116</Lines>
  <Paragraphs>77</Paragraphs>
  <ScaleCrop>false</ScaleCrop>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shenji shenji</dc:creator>
  <cp:lastModifiedBy>Administrator</cp:lastModifiedBy>
  <cp:revision>3</cp:revision>
  <dcterms:created xsi:type="dcterms:W3CDTF">2026-04-20T02:40:00Z</dcterms:created>
  <dcterms:modified xsi:type="dcterms:W3CDTF">2026-04-21T04:00:00Z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eyJoZGlkIjoiNmU0MGU0MTlkNmViY2EwYzRmZDNlYzZiYmQ4NmRjMWIiLCJ1c2VySWQiOiIyODk3NzczOTAifQ==</vt:lpwstr>
  </property>
  <property fmtid="{D5CDD505-2E9C-101B-9397-08002B2CF9AE}" pid="3" name="KSOProductBuildVer">
    <vt:lpwstr>2052-12.1.0.25865</vt:lpwstr>
  </property>
  <property fmtid="{D5CDD505-2E9C-101B-9397-08002B2CF9AE}" pid="4" name="ICV">
    <vt:lpwstr>719BD91742BD49F4944137327F38DB89_12</vt:lpwstr>
  </property>
</Properties>
</file>